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1637"/>
        <w:rPr>
          <w:rFonts w:ascii="Times New Roman"/>
          <w:sz w:val="20"/>
        </w:rPr>
      </w:pPr>
      <w:r>
        <w:rPr>
          <w:rFonts w:ascii="Times New Roman"/>
          <w:sz w:val="20"/>
        </w:rPr>
        <w:drawing>
          <wp:inline distT="0" distB="0" distL="0" distR="0">
            <wp:extent cx="4345307" cy="807053"/>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4345307" cy="807053"/>
                    </a:xfrm>
                    <a:prstGeom prst="rect">
                      <a:avLst/>
                    </a:prstGeom>
                  </pic:spPr>
                </pic:pic>
              </a:graphicData>
            </a:graphic>
          </wp:inline>
        </w:drawing>
      </w:r>
      <w:r>
        <w:rPr>
          <w:rFonts w:ascii="Times New Roman"/>
          <w:sz w:val="20"/>
        </w:rPr>
      </w:r>
    </w:p>
    <w:p>
      <w:pPr>
        <w:pStyle w:val="BodyText"/>
        <w:spacing w:before="118"/>
        <w:rPr>
          <w:rFonts w:ascii="Times New Roman"/>
        </w:rPr>
      </w:pPr>
    </w:p>
    <w:p>
      <w:pPr>
        <w:pStyle w:val="Heading1"/>
        <w:tabs>
          <w:tab w:pos="6121" w:val="left" w:leader="none"/>
        </w:tabs>
      </w:pPr>
      <w:r>
        <w:rPr/>
        <w:t>TCU</w:t>
      </w:r>
      <w:r>
        <w:rPr>
          <w:spacing w:val="-6"/>
        </w:rPr>
        <w:t> </w:t>
      </w:r>
      <w:r>
        <w:rPr/>
        <w:t>Box</w:t>
      </w:r>
      <w:r>
        <w:rPr>
          <w:spacing w:val="-6"/>
        </w:rPr>
        <w:t> </w:t>
      </w:r>
      <w:r>
        <w:rPr/>
        <w:t>297008,</w:t>
      </w:r>
      <w:r>
        <w:rPr>
          <w:spacing w:val="-2"/>
        </w:rPr>
        <w:t> </w:t>
      </w:r>
      <w:r>
        <w:rPr/>
        <w:t>Fort</w:t>
      </w:r>
      <w:r>
        <w:rPr>
          <w:spacing w:val="-3"/>
        </w:rPr>
        <w:t> </w:t>
      </w:r>
      <w:r>
        <w:rPr/>
        <w:t>Worth,</w:t>
      </w:r>
      <w:r>
        <w:rPr>
          <w:spacing w:val="-3"/>
        </w:rPr>
        <w:t> </w:t>
      </w:r>
      <w:r>
        <w:rPr/>
        <w:t>Texas</w:t>
      </w:r>
      <w:r>
        <w:rPr>
          <w:spacing w:val="-4"/>
        </w:rPr>
        <w:t> 76129</w:t>
      </w:r>
      <w:r>
        <w:rPr/>
        <w:tab/>
      </w:r>
      <w:hyperlink r:id="rId7">
        <w:r>
          <w:rPr>
            <w:color w:val="0462C1"/>
            <w:spacing w:val="-2"/>
            <w:u w:val="single" w:color="0462C1"/>
          </w:rPr>
          <w:t>studentaccommodation@tcu.edu</w:t>
        </w:r>
      </w:hyperlink>
    </w:p>
    <w:p>
      <w:pPr>
        <w:tabs>
          <w:tab w:pos="6121" w:val="left" w:leader="none"/>
        </w:tabs>
        <w:spacing w:before="55"/>
        <w:ind w:left="360" w:right="0" w:firstLine="0"/>
        <w:jc w:val="left"/>
        <w:rPr>
          <w:b/>
          <w:sz w:val="22"/>
        </w:rPr>
      </w:pPr>
      <w:r>
        <w:rPr>
          <w:b/>
          <w:sz w:val="22"/>
        </w:rPr>
        <w:t>Phone:</w:t>
      </w:r>
      <w:r>
        <w:rPr>
          <w:b/>
          <w:spacing w:val="-6"/>
          <w:sz w:val="22"/>
        </w:rPr>
        <w:t> </w:t>
      </w:r>
      <w:r>
        <w:rPr>
          <w:b/>
          <w:sz w:val="22"/>
        </w:rPr>
        <w:t>817-257-6567</w:t>
      </w:r>
      <w:r>
        <w:rPr>
          <w:b/>
          <w:spacing w:val="62"/>
          <w:w w:val="150"/>
          <w:sz w:val="22"/>
        </w:rPr>
        <w:t> </w:t>
      </w:r>
      <w:r>
        <w:rPr>
          <w:b/>
          <w:sz w:val="22"/>
        </w:rPr>
        <w:t>Fax:</w:t>
      </w:r>
      <w:r>
        <w:rPr>
          <w:b/>
          <w:spacing w:val="-5"/>
          <w:sz w:val="22"/>
        </w:rPr>
        <w:t> </w:t>
      </w:r>
      <w:r>
        <w:rPr>
          <w:b/>
          <w:sz w:val="22"/>
        </w:rPr>
        <w:t>817-257-</w:t>
      </w:r>
      <w:r>
        <w:rPr>
          <w:b/>
          <w:spacing w:val="-4"/>
          <w:sz w:val="22"/>
        </w:rPr>
        <w:t>5358</w:t>
      </w:r>
      <w:r>
        <w:rPr>
          <w:b/>
          <w:sz w:val="22"/>
        </w:rPr>
        <w:tab/>
      </w:r>
      <w:hyperlink r:id="rId8">
        <w:r>
          <w:rPr>
            <w:b/>
            <w:color w:val="0462C1"/>
            <w:spacing w:val="-2"/>
            <w:sz w:val="22"/>
            <w:u w:val="single" w:color="0462C1"/>
          </w:rPr>
          <w:t>www.tcu.edu/access-accommodation</w:t>
        </w:r>
      </w:hyperlink>
    </w:p>
    <w:p>
      <w:pPr>
        <w:pStyle w:val="Title"/>
        <w:rPr>
          <w:u w:val="none"/>
        </w:rPr>
      </w:pPr>
      <w:r>
        <w:rPr>
          <w:u w:val="single"/>
        </w:rPr>
        <w:t>Documentation</w:t>
      </w:r>
      <w:r>
        <w:rPr>
          <w:spacing w:val="-5"/>
          <w:u w:val="single"/>
        </w:rPr>
        <w:t> </w:t>
      </w:r>
      <w:r>
        <w:rPr>
          <w:u w:val="single"/>
        </w:rPr>
        <w:t>Guidelines</w:t>
      </w:r>
      <w:r>
        <w:rPr>
          <w:spacing w:val="-6"/>
          <w:u w:val="single"/>
        </w:rPr>
        <w:t> </w:t>
      </w:r>
      <w:r>
        <w:rPr>
          <w:u w:val="single"/>
        </w:rPr>
        <w:t>for</w:t>
      </w:r>
      <w:r>
        <w:rPr>
          <w:spacing w:val="-5"/>
          <w:u w:val="single"/>
        </w:rPr>
        <w:t> </w:t>
      </w:r>
      <w:r>
        <w:rPr>
          <w:u w:val="single"/>
        </w:rPr>
        <w:t>Blind</w:t>
      </w:r>
      <w:r>
        <w:rPr>
          <w:spacing w:val="-3"/>
          <w:u w:val="single"/>
        </w:rPr>
        <w:t> </w:t>
      </w:r>
      <w:r>
        <w:rPr>
          <w:u w:val="single"/>
        </w:rPr>
        <w:t>and</w:t>
      </w:r>
      <w:r>
        <w:rPr>
          <w:spacing w:val="-5"/>
          <w:u w:val="single"/>
        </w:rPr>
        <w:t> </w:t>
      </w:r>
      <w:r>
        <w:rPr>
          <w:u w:val="single"/>
        </w:rPr>
        <w:t>Low</w:t>
      </w:r>
      <w:r>
        <w:rPr>
          <w:spacing w:val="-6"/>
          <w:u w:val="single"/>
        </w:rPr>
        <w:t> </w:t>
      </w:r>
      <w:r>
        <w:rPr>
          <w:spacing w:val="-2"/>
          <w:u w:val="single"/>
        </w:rPr>
        <w:t>Vision</w:t>
      </w:r>
    </w:p>
    <w:p>
      <w:pPr>
        <w:pStyle w:val="BodyText"/>
        <w:spacing w:before="124"/>
        <w:rPr>
          <w:b/>
        </w:rPr>
      </w:pPr>
    </w:p>
    <w:p>
      <w:pPr>
        <w:pStyle w:val="BodyText"/>
        <w:spacing w:line="259" w:lineRule="auto" w:before="0"/>
        <w:ind w:left="360" w:right="353" w:firstLine="60"/>
      </w:pPr>
      <w:r>
        <w:rPr>
          <w:color w:val="2E2E2E"/>
        </w:rPr>
        <w:t>In order for Student Access and Accommodation (SAA) to evaluate requests for accommodations and/ or auxiliary aids and to determine eligibility for services, appropriate disability related documentation is needed. The documentation submitted should include an evaluation by an appropriately licensed professional and should demonstrate the current impact of the disability as it relates to the accommodations</w:t>
      </w:r>
      <w:r>
        <w:rPr>
          <w:color w:val="2E2E2E"/>
          <w:spacing w:val="-4"/>
        </w:rPr>
        <w:t> </w:t>
      </w:r>
      <w:r>
        <w:rPr>
          <w:color w:val="2E2E2E"/>
        </w:rPr>
        <w:t>requested.</w:t>
      </w:r>
      <w:r>
        <w:rPr>
          <w:color w:val="2E2E2E"/>
          <w:spacing w:val="-2"/>
        </w:rPr>
        <w:t> </w:t>
      </w:r>
      <w:r>
        <w:rPr>
          <w:color w:val="2E2E2E"/>
        </w:rPr>
        <w:t>The</w:t>
      </w:r>
      <w:r>
        <w:rPr>
          <w:color w:val="2E2E2E"/>
          <w:spacing w:val="-2"/>
        </w:rPr>
        <w:t> </w:t>
      </w:r>
      <w:r>
        <w:rPr>
          <w:color w:val="2E2E2E"/>
        </w:rPr>
        <w:t>documentation</w:t>
      </w:r>
      <w:r>
        <w:rPr>
          <w:color w:val="2E2E2E"/>
          <w:spacing w:val="-3"/>
        </w:rPr>
        <w:t> </w:t>
      </w:r>
      <w:r>
        <w:rPr>
          <w:color w:val="2E2E2E"/>
        </w:rPr>
        <w:t>should</w:t>
      </w:r>
      <w:r>
        <w:rPr>
          <w:color w:val="2E2E2E"/>
          <w:spacing w:val="-4"/>
        </w:rPr>
        <w:t> </w:t>
      </w:r>
      <w:r>
        <w:rPr>
          <w:color w:val="2E2E2E"/>
        </w:rPr>
        <w:t>also</w:t>
      </w:r>
      <w:r>
        <w:rPr>
          <w:color w:val="2E2E2E"/>
          <w:spacing w:val="-1"/>
        </w:rPr>
        <w:t> </w:t>
      </w:r>
      <w:r>
        <w:rPr>
          <w:color w:val="2E2E2E"/>
        </w:rPr>
        <w:t>include</w:t>
      </w:r>
      <w:r>
        <w:rPr>
          <w:color w:val="2E2E2E"/>
          <w:spacing w:val="-2"/>
        </w:rPr>
        <w:t> </w:t>
      </w:r>
      <w:r>
        <w:rPr>
          <w:color w:val="2E2E2E"/>
        </w:rPr>
        <w:t>a</w:t>
      </w:r>
      <w:r>
        <w:rPr>
          <w:color w:val="2E2E2E"/>
          <w:spacing w:val="-5"/>
        </w:rPr>
        <w:t> </w:t>
      </w:r>
      <w:r>
        <w:rPr>
          <w:color w:val="2E2E2E"/>
        </w:rPr>
        <w:t>description</w:t>
      </w:r>
      <w:r>
        <w:rPr>
          <w:color w:val="2E2E2E"/>
          <w:spacing w:val="-3"/>
        </w:rPr>
        <w:t> </w:t>
      </w:r>
      <w:r>
        <w:rPr>
          <w:color w:val="2E2E2E"/>
        </w:rPr>
        <w:t>of</w:t>
      </w:r>
      <w:r>
        <w:rPr>
          <w:color w:val="2E2E2E"/>
          <w:spacing w:val="-5"/>
        </w:rPr>
        <w:t> </w:t>
      </w:r>
      <w:r>
        <w:rPr>
          <w:color w:val="2E2E2E"/>
        </w:rPr>
        <w:t>any</w:t>
      </w:r>
      <w:r>
        <w:rPr>
          <w:color w:val="2E2E2E"/>
          <w:spacing w:val="-4"/>
        </w:rPr>
        <w:t> </w:t>
      </w:r>
      <w:r>
        <w:rPr>
          <w:color w:val="2E2E2E"/>
        </w:rPr>
        <w:t>and</w:t>
      </w:r>
      <w:r>
        <w:rPr>
          <w:color w:val="2E2E2E"/>
          <w:spacing w:val="-3"/>
        </w:rPr>
        <w:t> </w:t>
      </w:r>
      <w:r>
        <w:rPr>
          <w:color w:val="2E2E2E"/>
        </w:rPr>
        <w:t>all</w:t>
      </w:r>
      <w:r>
        <w:rPr>
          <w:color w:val="2E2E2E"/>
          <w:spacing w:val="-2"/>
        </w:rPr>
        <w:t> </w:t>
      </w:r>
      <w:r>
        <w:rPr>
          <w:color w:val="2E2E2E"/>
        </w:rPr>
        <w:t>relevant functional limitations.</w:t>
      </w:r>
    </w:p>
    <w:p>
      <w:pPr>
        <w:pStyle w:val="BodyText"/>
        <w:spacing w:line="249" w:lineRule="auto" w:before="247"/>
        <w:ind w:left="370" w:right="464" w:hanging="10"/>
        <w:rPr>
          <w:rFonts w:ascii="Arial"/>
          <w:sz w:val="24"/>
        </w:rPr>
      </w:pPr>
      <w:r>
        <w:rPr>
          <w:color w:val="2E2E2E"/>
        </w:rPr>
        <w:t>Legal blindness: In the better eye, (1) visual acuity 20/200 or less with correction, or (2) a visual field limitation such that the widest part of the visual field</w:t>
      </w:r>
      <w:r>
        <w:rPr>
          <w:color w:val="2E2E2E"/>
          <w:spacing w:val="-1"/>
        </w:rPr>
        <w:t> </w:t>
      </w:r>
      <w:r>
        <w:rPr>
          <w:color w:val="2E2E2E"/>
        </w:rPr>
        <w:t>covers an angle no greater than 20 degrees. Low vision:</w:t>
      </w:r>
      <w:r>
        <w:rPr>
          <w:color w:val="2E2E2E"/>
          <w:spacing w:val="-3"/>
        </w:rPr>
        <w:t> </w:t>
      </w:r>
      <w:r>
        <w:rPr>
          <w:color w:val="2E2E2E"/>
        </w:rPr>
        <w:t>Severe</w:t>
      </w:r>
      <w:r>
        <w:rPr>
          <w:color w:val="2E2E2E"/>
          <w:spacing w:val="-3"/>
        </w:rPr>
        <w:t> </w:t>
      </w:r>
      <w:r>
        <w:rPr>
          <w:color w:val="2E2E2E"/>
        </w:rPr>
        <w:t>visual</w:t>
      </w:r>
      <w:r>
        <w:rPr>
          <w:color w:val="2E2E2E"/>
          <w:spacing w:val="-3"/>
        </w:rPr>
        <w:t> </w:t>
      </w:r>
      <w:r>
        <w:rPr>
          <w:color w:val="2E2E2E"/>
        </w:rPr>
        <w:t>impairment</w:t>
      </w:r>
      <w:r>
        <w:rPr>
          <w:color w:val="2E2E2E"/>
          <w:spacing w:val="-6"/>
        </w:rPr>
        <w:t> </w:t>
      </w:r>
      <w:r>
        <w:rPr>
          <w:color w:val="2E2E2E"/>
        </w:rPr>
        <w:t>that</w:t>
      </w:r>
      <w:r>
        <w:rPr>
          <w:color w:val="2E2E2E"/>
          <w:spacing w:val="-5"/>
        </w:rPr>
        <w:t> </w:t>
      </w:r>
      <w:r>
        <w:rPr>
          <w:color w:val="2E2E2E"/>
        </w:rPr>
        <w:t>typically</w:t>
      </w:r>
      <w:r>
        <w:rPr>
          <w:color w:val="2E2E2E"/>
          <w:spacing w:val="-3"/>
        </w:rPr>
        <w:t> </w:t>
      </w:r>
      <w:r>
        <w:rPr>
          <w:color w:val="2E2E2E"/>
        </w:rPr>
        <w:t>is</w:t>
      </w:r>
      <w:r>
        <w:rPr>
          <w:color w:val="2E2E2E"/>
          <w:spacing w:val="-3"/>
        </w:rPr>
        <w:t> </w:t>
      </w:r>
      <w:r>
        <w:rPr>
          <w:color w:val="2E2E2E"/>
        </w:rPr>
        <w:t>partially</w:t>
      </w:r>
      <w:r>
        <w:rPr>
          <w:color w:val="2E2E2E"/>
          <w:spacing w:val="-3"/>
        </w:rPr>
        <w:t> </w:t>
      </w:r>
      <w:r>
        <w:rPr>
          <w:color w:val="2E2E2E"/>
        </w:rPr>
        <w:t>improved,</w:t>
      </w:r>
      <w:r>
        <w:rPr>
          <w:color w:val="2E2E2E"/>
          <w:spacing w:val="-3"/>
        </w:rPr>
        <w:t> </w:t>
      </w:r>
      <w:r>
        <w:rPr>
          <w:color w:val="2E2E2E"/>
        </w:rPr>
        <w:t>but</w:t>
      </w:r>
      <w:r>
        <w:rPr>
          <w:color w:val="2E2E2E"/>
          <w:spacing w:val="-3"/>
        </w:rPr>
        <w:t> </w:t>
      </w:r>
      <w:r>
        <w:rPr>
          <w:color w:val="2E2E2E"/>
        </w:rPr>
        <w:t>not</w:t>
      </w:r>
      <w:r>
        <w:rPr>
          <w:color w:val="2E2E2E"/>
          <w:spacing w:val="-5"/>
        </w:rPr>
        <w:t> </w:t>
      </w:r>
      <w:r>
        <w:rPr>
          <w:color w:val="2E2E2E"/>
        </w:rPr>
        <w:t>fully</w:t>
      </w:r>
      <w:r>
        <w:rPr>
          <w:color w:val="2E2E2E"/>
          <w:spacing w:val="-3"/>
        </w:rPr>
        <w:t> </w:t>
      </w:r>
      <w:r>
        <w:rPr>
          <w:color w:val="2E2E2E"/>
        </w:rPr>
        <w:t>resolved,</w:t>
      </w:r>
      <w:r>
        <w:rPr>
          <w:color w:val="2E2E2E"/>
          <w:spacing w:val="-3"/>
        </w:rPr>
        <w:t> </w:t>
      </w:r>
      <w:r>
        <w:rPr>
          <w:color w:val="2E2E2E"/>
        </w:rPr>
        <w:t>by</w:t>
      </w:r>
      <w:r>
        <w:rPr>
          <w:color w:val="2E2E2E"/>
          <w:spacing w:val="-3"/>
        </w:rPr>
        <w:t> </w:t>
      </w:r>
      <w:r>
        <w:rPr>
          <w:color w:val="2E2E2E"/>
        </w:rPr>
        <w:t>corrective </w:t>
      </w:r>
      <w:r>
        <w:rPr>
          <w:color w:val="2E2E2E"/>
          <w:spacing w:val="-2"/>
        </w:rPr>
        <w:t>lenses</w:t>
      </w:r>
      <w:r>
        <w:rPr>
          <w:rFonts w:ascii="Arial"/>
          <w:color w:val="2E2E2E"/>
          <w:spacing w:val="-2"/>
          <w:sz w:val="24"/>
        </w:rPr>
        <w:t>.</w:t>
      </w:r>
    </w:p>
    <w:p>
      <w:pPr>
        <w:pStyle w:val="BodyText"/>
        <w:spacing w:before="13"/>
        <w:rPr>
          <w:rFonts w:ascii="Arial"/>
        </w:rPr>
      </w:pPr>
    </w:p>
    <w:p>
      <w:pPr>
        <w:spacing w:before="1"/>
        <w:ind w:left="360" w:right="0" w:firstLine="0"/>
        <w:jc w:val="both"/>
        <w:rPr>
          <w:b/>
          <w:sz w:val="24"/>
        </w:rPr>
      </w:pPr>
      <w:r>
        <w:rPr>
          <w:b/>
          <w:sz w:val="24"/>
        </w:rPr>
        <w:t>A</w:t>
      </w:r>
      <w:r>
        <w:rPr>
          <w:b/>
          <w:spacing w:val="-2"/>
          <w:sz w:val="24"/>
        </w:rPr>
        <w:t> </w:t>
      </w:r>
      <w:r>
        <w:rPr>
          <w:b/>
          <w:sz w:val="24"/>
        </w:rPr>
        <w:t>qualified</w:t>
      </w:r>
      <w:r>
        <w:rPr>
          <w:b/>
          <w:spacing w:val="-2"/>
          <w:sz w:val="24"/>
        </w:rPr>
        <w:t> </w:t>
      </w:r>
      <w:r>
        <w:rPr>
          <w:b/>
          <w:sz w:val="24"/>
        </w:rPr>
        <w:t>professional</w:t>
      </w:r>
      <w:r>
        <w:rPr>
          <w:b/>
          <w:spacing w:val="-6"/>
          <w:sz w:val="24"/>
        </w:rPr>
        <w:t> </w:t>
      </w:r>
      <w:r>
        <w:rPr>
          <w:b/>
          <w:sz w:val="24"/>
        </w:rPr>
        <w:t>must</w:t>
      </w:r>
      <w:r>
        <w:rPr>
          <w:b/>
          <w:spacing w:val="-2"/>
          <w:sz w:val="24"/>
        </w:rPr>
        <w:t> </w:t>
      </w:r>
      <w:r>
        <w:rPr>
          <w:b/>
          <w:sz w:val="24"/>
        </w:rPr>
        <w:t>conduct</w:t>
      </w:r>
      <w:r>
        <w:rPr>
          <w:b/>
          <w:spacing w:val="-2"/>
          <w:sz w:val="24"/>
        </w:rPr>
        <w:t> </w:t>
      </w:r>
      <w:r>
        <w:rPr>
          <w:b/>
          <w:sz w:val="24"/>
        </w:rPr>
        <w:t>the</w:t>
      </w:r>
      <w:r>
        <w:rPr>
          <w:b/>
          <w:spacing w:val="-3"/>
          <w:sz w:val="24"/>
        </w:rPr>
        <w:t> </w:t>
      </w:r>
      <w:r>
        <w:rPr>
          <w:b/>
          <w:spacing w:val="-2"/>
          <w:sz w:val="24"/>
        </w:rPr>
        <w:t>evaluation.</w:t>
      </w:r>
    </w:p>
    <w:p>
      <w:pPr>
        <w:pStyle w:val="BodyText"/>
        <w:spacing w:line="249" w:lineRule="auto" w:before="21"/>
        <w:ind w:left="355" w:right="348" w:hanging="10"/>
        <w:jc w:val="both"/>
      </w:pPr>
      <w:r>
        <w:rPr/>
        <w:t>Professionals conducting assessments, rendering diagnoses, and offering clinical judgments must be qualified</w:t>
      </w:r>
      <w:r>
        <w:rPr>
          <w:spacing w:val="-5"/>
        </w:rPr>
        <w:t> </w:t>
      </w:r>
      <w:r>
        <w:rPr/>
        <w:t>to</w:t>
      </w:r>
      <w:r>
        <w:rPr>
          <w:spacing w:val="-3"/>
        </w:rPr>
        <w:t> </w:t>
      </w:r>
      <w:r>
        <w:rPr/>
        <w:t>do</w:t>
      </w:r>
      <w:r>
        <w:rPr>
          <w:spacing w:val="-3"/>
        </w:rPr>
        <w:t> </w:t>
      </w:r>
      <w:r>
        <w:rPr/>
        <w:t>so.</w:t>
      </w:r>
      <w:r>
        <w:rPr>
          <w:spacing w:val="-5"/>
        </w:rPr>
        <w:t> </w:t>
      </w:r>
      <w:r>
        <w:rPr/>
        <w:t>It</w:t>
      </w:r>
      <w:r>
        <w:rPr>
          <w:spacing w:val="-4"/>
        </w:rPr>
        <w:t> </w:t>
      </w:r>
      <w:r>
        <w:rPr/>
        <w:t>is</w:t>
      </w:r>
      <w:r>
        <w:rPr>
          <w:spacing w:val="-5"/>
        </w:rPr>
        <w:t> </w:t>
      </w:r>
      <w:r>
        <w:rPr/>
        <w:t>essential</w:t>
      </w:r>
      <w:r>
        <w:rPr>
          <w:spacing w:val="-5"/>
        </w:rPr>
        <w:t> </w:t>
      </w:r>
      <w:r>
        <w:rPr/>
        <w:t>that</w:t>
      </w:r>
      <w:r>
        <w:rPr>
          <w:spacing w:val="-4"/>
        </w:rPr>
        <w:t> </w:t>
      </w:r>
      <w:r>
        <w:rPr/>
        <w:t>professional’s</w:t>
      </w:r>
      <w:r>
        <w:rPr>
          <w:spacing w:val="-4"/>
        </w:rPr>
        <w:t> </w:t>
      </w:r>
      <w:r>
        <w:rPr/>
        <w:t>qualifications</w:t>
      </w:r>
      <w:r>
        <w:rPr>
          <w:spacing w:val="-4"/>
        </w:rPr>
        <w:t> </w:t>
      </w:r>
      <w:r>
        <w:rPr/>
        <w:t>include</w:t>
      </w:r>
      <w:r>
        <w:rPr>
          <w:spacing w:val="-4"/>
        </w:rPr>
        <w:t> </w:t>
      </w:r>
      <w:r>
        <w:rPr/>
        <w:t>both</w:t>
      </w:r>
      <w:r>
        <w:rPr>
          <w:spacing w:val="-5"/>
        </w:rPr>
        <w:t> </w:t>
      </w:r>
      <w:r>
        <w:rPr/>
        <w:t>(1)</w:t>
      </w:r>
      <w:r>
        <w:rPr>
          <w:spacing w:val="-7"/>
        </w:rPr>
        <w:t> </w:t>
      </w:r>
      <w:r>
        <w:rPr/>
        <w:t>comprehensive</w:t>
      </w:r>
      <w:r>
        <w:rPr>
          <w:spacing w:val="-2"/>
        </w:rPr>
        <w:t> </w:t>
      </w:r>
      <w:r>
        <w:rPr/>
        <w:t>training and relevant experience in the specialty with an adolescent and young adult population; and (2) appropriate licensure/certification. For most individuals who are blind or have low vision, the evaluation should</w:t>
      </w:r>
      <w:r>
        <w:rPr>
          <w:spacing w:val="-1"/>
        </w:rPr>
        <w:t> </w:t>
      </w:r>
      <w:r>
        <w:rPr/>
        <w:t>be</w:t>
      </w:r>
      <w:r>
        <w:rPr>
          <w:spacing w:val="-2"/>
        </w:rPr>
        <w:t> </w:t>
      </w:r>
      <w:r>
        <w:rPr/>
        <w:t>performed by a</w:t>
      </w:r>
      <w:r>
        <w:rPr>
          <w:spacing w:val="-2"/>
        </w:rPr>
        <w:t> </w:t>
      </w:r>
      <w:r>
        <w:rPr/>
        <w:t>doctor</w:t>
      </w:r>
      <w:r>
        <w:rPr>
          <w:spacing w:val="-2"/>
        </w:rPr>
        <w:t> </w:t>
      </w:r>
      <w:r>
        <w:rPr/>
        <w:t>of</w:t>
      </w:r>
      <w:r>
        <w:rPr>
          <w:spacing w:val="-2"/>
        </w:rPr>
        <w:t> </w:t>
      </w:r>
      <w:r>
        <w:rPr/>
        <w:t>ophthalmology</w:t>
      </w:r>
      <w:r>
        <w:rPr>
          <w:spacing w:val="-2"/>
        </w:rPr>
        <w:t> </w:t>
      </w:r>
      <w:r>
        <w:rPr/>
        <w:t>or optometry. </w:t>
      </w:r>
      <w:r>
        <w:rPr>
          <w:color w:val="2E2E2E"/>
        </w:rPr>
        <w:t>The</w:t>
      </w:r>
      <w:r>
        <w:rPr>
          <w:color w:val="2E2E2E"/>
          <w:spacing w:val="-2"/>
        </w:rPr>
        <w:t> </w:t>
      </w:r>
      <w:r>
        <w:rPr>
          <w:color w:val="2E2E2E"/>
        </w:rPr>
        <w:t>name,</w:t>
      </w:r>
      <w:r>
        <w:rPr>
          <w:color w:val="2E2E2E"/>
          <w:spacing w:val="-2"/>
        </w:rPr>
        <w:t> </w:t>
      </w:r>
      <w:r>
        <w:rPr>
          <w:color w:val="2E2E2E"/>
        </w:rPr>
        <w:t>title, and</w:t>
      </w:r>
      <w:r>
        <w:rPr>
          <w:color w:val="2E2E2E"/>
          <w:spacing w:val="-3"/>
        </w:rPr>
        <w:t> </w:t>
      </w:r>
      <w:r>
        <w:rPr>
          <w:color w:val="2E2E2E"/>
        </w:rPr>
        <w:t>credentials</w:t>
      </w:r>
      <w:r>
        <w:rPr>
          <w:color w:val="2E2E2E"/>
          <w:spacing w:val="-2"/>
        </w:rPr>
        <w:t> </w:t>
      </w:r>
      <w:r>
        <w:rPr>
          <w:color w:val="2E2E2E"/>
        </w:rPr>
        <w:t>of</w:t>
      </w:r>
      <w:r>
        <w:rPr>
          <w:color w:val="2E2E2E"/>
          <w:spacing w:val="-2"/>
        </w:rPr>
        <w:t> </w:t>
      </w:r>
      <w:r>
        <w:rPr>
          <w:color w:val="2E2E2E"/>
        </w:rPr>
        <w:t>the qualified</w:t>
      </w:r>
      <w:r>
        <w:rPr>
          <w:color w:val="2E2E2E"/>
          <w:spacing w:val="-1"/>
        </w:rPr>
        <w:t> </w:t>
      </w:r>
      <w:r>
        <w:rPr>
          <w:color w:val="2E2E2E"/>
        </w:rPr>
        <w:t>professional writing the report should</w:t>
      </w:r>
      <w:r>
        <w:rPr>
          <w:color w:val="2E2E2E"/>
          <w:spacing w:val="-1"/>
        </w:rPr>
        <w:t> </w:t>
      </w:r>
      <w:r>
        <w:rPr>
          <w:color w:val="2E2E2E"/>
        </w:rPr>
        <w:t>be included. Information about licensure</w:t>
      </w:r>
      <w:r>
        <w:rPr>
          <w:color w:val="2E2E2E"/>
          <w:spacing w:val="-2"/>
        </w:rPr>
        <w:t> </w:t>
      </w:r>
      <w:r>
        <w:rPr>
          <w:color w:val="2E2E2E"/>
        </w:rPr>
        <w:t>or certification, including the area of specialization, employment and the state or province in which the individual practices,</w:t>
      </w:r>
      <w:r>
        <w:rPr>
          <w:color w:val="2E2E2E"/>
          <w:spacing w:val="-13"/>
        </w:rPr>
        <w:t> </w:t>
      </w:r>
      <w:r>
        <w:rPr>
          <w:color w:val="2E2E2E"/>
        </w:rPr>
        <w:t>should</w:t>
      </w:r>
      <w:r>
        <w:rPr>
          <w:color w:val="2E2E2E"/>
          <w:spacing w:val="-12"/>
        </w:rPr>
        <w:t> </w:t>
      </w:r>
      <w:r>
        <w:rPr>
          <w:color w:val="2E2E2E"/>
        </w:rPr>
        <w:t>also</w:t>
      </w:r>
      <w:r>
        <w:rPr>
          <w:color w:val="2E2E2E"/>
          <w:spacing w:val="-13"/>
        </w:rPr>
        <w:t> </w:t>
      </w:r>
      <w:r>
        <w:rPr>
          <w:color w:val="2E2E2E"/>
        </w:rPr>
        <w:t>be</w:t>
      </w:r>
      <w:r>
        <w:rPr>
          <w:color w:val="2E2E2E"/>
          <w:spacing w:val="-12"/>
        </w:rPr>
        <w:t> </w:t>
      </w:r>
      <w:r>
        <w:rPr>
          <w:color w:val="2E2E2E"/>
        </w:rPr>
        <w:t>clearly</w:t>
      </w:r>
      <w:r>
        <w:rPr>
          <w:color w:val="2E2E2E"/>
          <w:spacing w:val="-13"/>
        </w:rPr>
        <w:t> </w:t>
      </w:r>
      <w:r>
        <w:rPr>
          <w:color w:val="2E2E2E"/>
        </w:rPr>
        <w:t>stated</w:t>
      </w:r>
      <w:r>
        <w:rPr>
          <w:color w:val="2E2E2E"/>
          <w:spacing w:val="-12"/>
        </w:rPr>
        <w:t> </w:t>
      </w:r>
      <w:r>
        <w:rPr>
          <w:color w:val="2E2E2E"/>
        </w:rPr>
        <w:t>in</w:t>
      </w:r>
      <w:r>
        <w:rPr>
          <w:color w:val="2E2E2E"/>
          <w:spacing w:val="-13"/>
        </w:rPr>
        <w:t> </w:t>
      </w:r>
      <w:r>
        <w:rPr>
          <w:color w:val="2E2E2E"/>
        </w:rPr>
        <w:t>the</w:t>
      </w:r>
      <w:r>
        <w:rPr>
          <w:color w:val="2E2E2E"/>
          <w:spacing w:val="-12"/>
        </w:rPr>
        <w:t> </w:t>
      </w:r>
      <w:r>
        <w:rPr>
          <w:color w:val="2E2E2E"/>
        </w:rPr>
        <w:t>documentation.</w:t>
      </w:r>
      <w:r>
        <w:rPr>
          <w:color w:val="2E2E2E"/>
          <w:spacing w:val="-12"/>
        </w:rPr>
        <w:t> </w:t>
      </w:r>
      <w:r>
        <w:rPr>
          <w:color w:val="2E2E2E"/>
        </w:rPr>
        <w:t>The</w:t>
      </w:r>
      <w:r>
        <w:rPr>
          <w:color w:val="2E2E2E"/>
          <w:spacing w:val="-13"/>
        </w:rPr>
        <w:t> </w:t>
      </w:r>
      <w:r>
        <w:rPr>
          <w:color w:val="2E2E2E"/>
        </w:rPr>
        <w:t>documentation</w:t>
      </w:r>
      <w:r>
        <w:rPr>
          <w:color w:val="2E2E2E"/>
          <w:spacing w:val="-12"/>
        </w:rPr>
        <w:t> </w:t>
      </w:r>
      <w:r>
        <w:rPr>
          <w:color w:val="2E2E2E"/>
        </w:rPr>
        <w:t>must</w:t>
      </w:r>
      <w:r>
        <w:rPr>
          <w:color w:val="2E2E2E"/>
          <w:spacing w:val="-13"/>
        </w:rPr>
        <w:t> </w:t>
      </w:r>
      <w:r>
        <w:rPr>
          <w:color w:val="2E2E2E"/>
        </w:rPr>
        <w:t>be</w:t>
      </w:r>
      <w:r>
        <w:rPr>
          <w:color w:val="2E2E2E"/>
          <w:spacing w:val="-12"/>
        </w:rPr>
        <w:t> </w:t>
      </w:r>
      <w:r>
        <w:rPr>
          <w:color w:val="2E2E2E"/>
        </w:rPr>
        <w:t>in</w:t>
      </w:r>
      <w:r>
        <w:rPr>
          <w:color w:val="2E2E2E"/>
          <w:spacing w:val="-13"/>
        </w:rPr>
        <w:t> </w:t>
      </w:r>
      <w:r>
        <w:rPr>
          <w:color w:val="2E2E2E"/>
        </w:rPr>
        <w:t>a</w:t>
      </w:r>
      <w:r>
        <w:rPr>
          <w:color w:val="2E2E2E"/>
          <w:spacing w:val="-12"/>
        </w:rPr>
        <w:t> </w:t>
      </w:r>
      <w:r>
        <w:rPr>
          <w:color w:val="2E2E2E"/>
        </w:rPr>
        <w:t>typewritten report on professional letterhead that bears the evaluator’s name, license number, professional credentials, business location, contact information and signature.</w:t>
      </w:r>
    </w:p>
    <w:p>
      <w:pPr>
        <w:pStyle w:val="BodyText"/>
        <w:spacing w:before="16"/>
      </w:pPr>
    </w:p>
    <w:p>
      <w:pPr>
        <w:pStyle w:val="Heading1"/>
        <w:jc w:val="both"/>
      </w:pPr>
      <w:r>
        <w:rPr>
          <w:color w:val="2E2E2E"/>
        </w:rPr>
        <w:t>Testing</w:t>
      </w:r>
      <w:r>
        <w:rPr>
          <w:color w:val="2E2E2E"/>
          <w:spacing w:val="-5"/>
        </w:rPr>
        <w:t> </w:t>
      </w:r>
      <w:r>
        <w:rPr>
          <w:color w:val="2E2E2E"/>
        </w:rPr>
        <w:t>Should</w:t>
      </w:r>
      <w:r>
        <w:rPr>
          <w:color w:val="2E2E2E"/>
          <w:spacing w:val="-4"/>
        </w:rPr>
        <w:t> </w:t>
      </w:r>
      <w:r>
        <w:rPr>
          <w:color w:val="2E2E2E"/>
        </w:rPr>
        <w:t>Be</w:t>
      </w:r>
      <w:r>
        <w:rPr>
          <w:color w:val="2E2E2E"/>
          <w:spacing w:val="-6"/>
        </w:rPr>
        <w:t> </w:t>
      </w:r>
      <w:r>
        <w:rPr>
          <w:color w:val="2E2E2E"/>
          <w:spacing w:val="-2"/>
        </w:rPr>
        <w:t>Current.</w:t>
      </w:r>
    </w:p>
    <w:p>
      <w:pPr>
        <w:pStyle w:val="BodyText"/>
        <w:spacing w:line="237" w:lineRule="auto" w:before="24"/>
        <w:ind w:left="355" w:right="333" w:hanging="10"/>
        <w:jc w:val="both"/>
      </w:pPr>
      <w:r>
        <w:rPr>
          <w:color w:val="2E2E2E"/>
        </w:rPr>
        <w:t>Because</w:t>
      </w:r>
      <w:r>
        <w:rPr>
          <w:color w:val="2E2E2E"/>
          <w:spacing w:val="-1"/>
        </w:rPr>
        <w:t> </w:t>
      </w:r>
      <w:r>
        <w:rPr>
          <w:color w:val="2E2E2E"/>
        </w:rPr>
        <w:t>of</w:t>
      </w:r>
      <w:r>
        <w:rPr>
          <w:color w:val="2E2E2E"/>
          <w:spacing w:val="-1"/>
        </w:rPr>
        <w:t> </w:t>
      </w:r>
      <w:r>
        <w:rPr>
          <w:color w:val="2E2E2E"/>
        </w:rPr>
        <w:t>the</w:t>
      </w:r>
      <w:r>
        <w:rPr>
          <w:color w:val="2E2E2E"/>
          <w:spacing w:val="-1"/>
        </w:rPr>
        <w:t> </w:t>
      </w:r>
      <w:r>
        <w:rPr>
          <w:color w:val="2E2E2E"/>
        </w:rPr>
        <w:t>changing manifestations</w:t>
      </w:r>
      <w:r>
        <w:rPr>
          <w:color w:val="2E2E2E"/>
          <w:spacing w:val="-1"/>
        </w:rPr>
        <w:t> </w:t>
      </w:r>
      <w:r>
        <w:rPr>
          <w:color w:val="2E2E2E"/>
        </w:rPr>
        <w:t>of</w:t>
      </w:r>
      <w:r>
        <w:rPr>
          <w:color w:val="2E2E2E"/>
          <w:spacing w:val="-1"/>
        </w:rPr>
        <w:t> </w:t>
      </w:r>
      <w:r>
        <w:rPr>
          <w:color w:val="2E2E2E"/>
        </w:rPr>
        <w:t>many visual conditions, it</w:t>
      </w:r>
      <w:r>
        <w:rPr>
          <w:color w:val="2E2E2E"/>
          <w:spacing w:val="-1"/>
        </w:rPr>
        <w:t> </w:t>
      </w:r>
      <w:r>
        <w:rPr>
          <w:color w:val="2E2E2E"/>
        </w:rPr>
        <w:t>is</w:t>
      </w:r>
      <w:r>
        <w:rPr>
          <w:color w:val="2E2E2E"/>
          <w:spacing w:val="-1"/>
        </w:rPr>
        <w:t> </w:t>
      </w:r>
      <w:r>
        <w:rPr>
          <w:color w:val="2E2E2E"/>
        </w:rPr>
        <w:t>essential</w:t>
      </w:r>
      <w:r>
        <w:rPr>
          <w:color w:val="2E2E2E"/>
          <w:spacing w:val="-2"/>
        </w:rPr>
        <w:t> </w:t>
      </w:r>
      <w:r>
        <w:rPr>
          <w:color w:val="2E2E2E"/>
        </w:rPr>
        <w:t>that the</w:t>
      </w:r>
      <w:r>
        <w:rPr>
          <w:color w:val="2E2E2E"/>
          <w:spacing w:val="-1"/>
        </w:rPr>
        <w:t> </w:t>
      </w:r>
      <w:r>
        <w:rPr>
          <w:color w:val="2E2E2E"/>
        </w:rPr>
        <w:t>student provide recent</w:t>
      </w:r>
      <w:r>
        <w:rPr>
          <w:color w:val="2E2E2E"/>
          <w:spacing w:val="-3"/>
        </w:rPr>
        <w:t> </w:t>
      </w:r>
      <w:r>
        <w:rPr>
          <w:color w:val="2E2E2E"/>
        </w:rPr>
        <w:t>and</w:t>
      </w:r>
      <w:r>
        <w:rPr>
          <w:color w:val="2E2E2E"/>
          <w:spacing w:val="-1"/>
        </w:rPr>
        <w:t> </w:t>
      </w:r>
      <w:r>
        <w:rPr>
          <w:color w:val="2E2E2E"/>
        </w:rPr>
        <w:t>appropriate documentation</w:t>
      </w:r>
      <w:r>
        <w:rPr>
          <w:color w:val="2E2E2E"/>
          <w:spacing w:val="-1"/>
        </w:rPr>
        <w:t> </w:t>
      </w:r>
      <w:r>
        <w:rPr>
          <w:color w:val="2E2E2E"/>
        </w:rPr>
        <w:t>from</w:t>
      </w:r>
      <w:r>
        <w:rPr>
          <w:color w:val="2E2E2E"/>
          <w:spacing w:val="-2"/>
        </w:rPr>
        <w:t> </w:t>
      </w:r>
      <w:r>
        <w:rPr>
          <w:color w:val="2E2E2E"/>
        </w:rPr>
        <w:t>the</w:t>
      </w:r>
      <w:r>
        <w:rPr>
          <w:color w:val="2E2E2E"/>
          <w:spacing w:val="-3"/>
        </w:rPr>
        <w:t> </w:t>
      </w:r>
      <w:r>
        <w:rPr>
          <w:color w:val="2E2E2E"/>
        </w:rPr>
        <w:t>optometrist</w:t>
      </w:r>
      <w:r>
        <w:rPr>
          <w:color w:val="2E2E2E"/>
          <w:spacing w:val="-2"/>
        </w:rPr>
        <w:t> </w:t>
      </w:r>
      <w:r>
        <w:rPr>
          <w:color w:val="2E2E2E"/>
        </w:rPr>
        <w:t>or</w:t>
      </w:r>
      <w:r>
        <w:rPr>
          <w:color w:val="2E2E2E"/>
          <w:spacing w:val="-3"/>
        </w:rPr>
        <w:t> </w:t>
      </w:r>
      <w:r>
        <w:rPr>
          <w:color w:val="2E2E2E"/>
        </w:rPr>
        <w:t>ophthalmologist.</w:t>
      </w:r>
      <w:r>
        <w:rPr>
          <w:color w:val="2E2E2E"/>
          <w:spacing w:val="-1"/>
        </w:rPr>
        <w:t> </w:t>
      </w:r>
      <w:r>
        <w:rPr>
          <w:color w:val="2E2E2E"/>
        </w:rPr>
        <w:t>If</w:t>
      </w:r>
      <w:r>
        <w:rPr>
          <w:color w:val="2E2E2E"/>
          <w:spacing w:val="-1"/>
        </w:rPr>
        <w:t> </w:t>
      </w:r>
      <w:r>
        <w:rPr>
          <w:color w:val="2E2E2E"/>
        </w:rPr>
        <w:t>the</w:t>
      </w:r>
      <w:r>
        <w:rPr>
          <w:color w:val="2E2E2E"/>
          <w:spacing w:val="-3"/>
        </w:rPr>
        <w:t> </w:t>
      </w:r>
      <w:r>
        <w:rPr>
          <w:color w:val="2E2E2E"/>
        </w:rPr>
        <w:t>diagnostic report is</w:t>
      </w:r>
      <w:r>
        <w:rPr>
          <w:color w:val="2E2E2E"/>
          <w:spacing w:val="-1"/>
        </w:rPr>
        <w:t> </w:t>
      </w:r>
      <w:r>
        <w:rPr>
          <w:color w:val="2E2E2E"/>
        </w:rPr>
        <w:t>more</w:t>
      </w:r>
      <w:r>
        <w:rPr>
          <w:color w:val="2E2E2E"/>
          <w:spacing w:val="-1"/>
        </w:rPr>
        <w:t> </w:t>
      </w:r>
      <w:r>
        <w:rPr>
          <w:color w:val="2E2E2E"/>
        </w:rPr>
        <w:t>than</w:t>
      </w:r>
      <w:r>
        <w:rPr>
          <w:color w:val="2E2E2E"/>
          <w:spacing w:val="-4"/>
        </w:rPr>
        <w:t> </w:t>
      </w:r>
      <w:r>
        <w:rPr>
          <w:color w:val="2E2E2E"/>
        </w:rPr>
        <w:t>three</w:t>
      </w:r>
      <w:r>
        <w:rPr>
          <w:color w:val="2E2E2E"/>
          <w:spacing w:val="-3"/>
        </w:rPr>
        <w:t> </w:t>
      </w:r>
      <w:r>
        <w:rPr>
          <w:color w:val="2E2E2E"/>
        </w:rPr>
        <w:t>years</w:t>
      </w:r>
      <w:r>
        <w:rPr>
          <w:color w:val="2E2E2E"/>
          <w:spacing w:val="-1"/>
        </w:rPr>
        <w:t> </w:t>
      </w:r>
      <w:r>
        <w:rPr>
          <w:color w:val="2E2E2E"/>
        </w:rPr>
        <w:t>old,</w:t>
      </w:r>
      <w:r>
        <w:rPr>
          <w:color w:val="2E2E2E"/>
          <w:spacing w:val="-1"/>
        </w:rPr>
        <w:t> </w:t>
      </w:r>
      <w:r>
        <w:rPr>
          <w:color w:val="2E2E2E"/>
        </w:rPr>
        <w:t>the</w:t>
      </w:r>
      <w:r>
        <w:rPr>
          <w:color w:val="2E2E2E"/>
          <w:spacing w:val="-1"/>
        </w:rPr>
        <w:t> </w:t>
      </w:r>
      <w:r>
        <w:rPr>
          <w:color w:val="2E2E2E"/>
        </w:rPr>
        <w:t>student</w:t>
      </w:r>
      <w:r>
        <w:rPr>
          <w:color w:val="2E2E2E"/>
          <w:spacing w:val="-3"/>
        </w:rPr>
        <w:t> </w:t>
      </w:r>
      <w:r>
        <w:rPr>
          <w:color w:val="2E2E2E"/>
        </w:rPr>
        <w:t>must</w:t>
      </w:r>
      <w:r>
        <w:rPr>
          <w:color w:val="2E2E2E"/>
          <w:spacing w:val="-3"/>
        </w:rPr>
        <w:t> </w:t>
      </w:r>
      <w:r>
        <w:rPr>
          <w:color w:val="2E2E2E"/>
        </w:rPr>
        <w:t>submit</w:t>
      </w:r>
      <w:r>
        <w:rPr>
          <w:color w:val="2E2E2E"/>
          <w:spacing w:val="-4"/>
        </w:rPr>
        <w:t> </w:t>
      </w:r>
      <w:r>
        <w:rPr>
          <w:color w:val="2E2E2E"/>
        </w:rPr>
        <w:t>a</w:t>
      </w:r>
      <w:r>
        <w:rPr>
          <w:color w:val="2E2E2E"/>
          <w:spacing w:val="-1"/>
        </w:rPr>
        <w:t> </w:t>
      </w:r>
      <w:r>
        <w:rPr>
          <w:color w:val="2E2E2E"/>
        </w:rPr>
        <w:t>letter</w:t>
      </w:r>
      <w:r>
        <w:rPr>
          <w:color w:val="2E2E2E"/>
          <w:spacing w:val="-1"/>
        </w:rPr>
        <w:t> </w:t>
      </w:r>
      <w:r>
        <w:rPr>
          <w:color w:val="2E2E2E"/>
        </w:rPr>
        <w:t>from a</w:t>
      </w:r>
      <w:r>
        <w:rPr>
          <w:color w:val="2E2E2E"/>
          <w:spacing w:val="-3"/>
        </w:rPr>
        <w:t> </w:t>
      </w:r>
      <w:r>
        <w:rPr>
          <w:color w:val="2E2E2E"/>
        </w:rPr>
        <w:t>qualified</w:t>
      </w:r>
      <w:r>
        <w:rPr>
          <w:color w:val="2E2E2E"/>
          <w:spacing w:val="-2"/>
        </w:rPr>
        <w:t> </w:t>
      </w:r>
      <w:r>
        <w:rPr>
          <w:color w:val="2E2E2E"/>
        </w:rPr>
        <w:t>professional</w:t>
      </w:r>
      <w:r>
        <w:rPr>
          <w:color w:val="2E2E2E"/>
          <w:spacing w:val="-1"/>
        </w:rPr>
        <w:t> </w:t>
      </w:r>
      <w:r>
        <w:rPr>
          <w:color w:val="2E2E2E"/>
        </w:rPr>
        <w:t>that</w:t>
      </w:r>
      <w:r>
        <w:rPr>
          <w:color w:val="2E2E2E"/>
          <w:spacing w:val="-4"/>
        </w:rPr>
        <w:t> </w:t>
      </w:r>
      <w:r>
        <w:rPr>
          <w:color w:val="2E2E2E"/>
        </w:rPr>
        <w:t>provides an</w:t>
      </w:r>
      <w:r>
        <w:rPr>
          <w:color w:val="2E2E2E"/>
          <w:spacing w:val="-9"/>
        </w:rPr>
        <w:t> </w:t>
      </w:r>
      <w:r>
        <w:rPr>
          <w:color w:val="2E2E2E"/>
        </w:rPr>
        <w:t>update</w:t>
      </w:r>
      <w:r>
        <w:rPr>
          <w:color w:val="2E2E2E"/>
          <w:spacing w:val="-7"/>
        </w:rPr>
        <w:t> </w:t>
      </w:r>
      <w:r>
        <w:rPr>
          <w:color w:val="2E2E2E"/>
        </w:rPr>
        <w:t>of</w:t>
      </w:r>
      <w:r>
        <w:rPr>
          <w:color w:val="2E2E2E"/>
          <w:spacing w:val="-8"/>
        </w:rPr>
        <w:t> </w:t>
      </w:r>
      <w:r>
        <w:rPr>
          <w:color w:val="2E2E2E"/>
        </w:rPr>
        <w:t>the</w:t>
      </w:r>
      <w:r>
        <w:rPr>
          <w:color w:val="2E2E2E"/>
          <w:spacing w:val="-8"/>
        </w:rPr>
        <w:t> </w:t>
      </w:r>
      <w:r>
        <w:rPr>
          <w:color w:val="2E2E2E"/>
        </w:rPr>
        <w:t>diagnosis,</w:t>
      </w:r>
      <w:r>
        <w:rPr>
          <w:color w:val="2E2E2E"/>
          <w:spacing w:val="-10"/>
        </w:rPr>
        <w:t> </w:t>
      </w:r>
      <w:r>
        <w:rPr>
          <w:color w:val="2E2E2E"/>
        </w:rPr>
        <w:t>an</w:t>
      </w:r>
      <w:r>
        <w:rPr>
          <w:color w:val="2E2E2E"/>
          <w:spacing w:val="-9"/>
        </w:rPr>
        <w:t> </w:t>
      </w:r>
      <w:r>
        <w:rPr>
          <w:color w:val="2E2E2E"/>
        </w:rPr>
        <w:t>indication</w:t>
      </w:r>
      <w:r>
        <w:rPr>
          <w:color w:val="2E2E2E"/>
          <w:spacing w:val="-9"/>
        </w:rPr>
        <w:t> </w:t>
      </w:r>
      <w:r>
        <w:rPr>
          <w:color w:val="2E2E2E"/>
        </w:rPr>
        <w:t>of</w:t>
      </w:r>
      <w:r>
        <w:rPr>
          <w:color w:val="2E2E2E"/>
          <w:spacing w:val="-8"/>
        </w:rPr>
        <w:t> </w:t>
      </w:r>
      <w:r>
        <w:rPr>
          <w:color w:val="2E2E2E"/>
        </w:rPr>
        <w:t>the</w:t>
      </w:r>
      <w:r>
        <w:rPr>
          <w:color w:val="2E2E2E"/>
          <w:spacing w:val="-8"/>
        </w:rPr>
        <w:t> </w:t>
      </w:r>
      <w:r>
        <w:rPr>
          <w:color w:val="2E2E2E"/>
        </w:rPr>
        <w:t>severity</w:t>
      </w:r>
      <w:r>
        <w:rPr>
          <w:color w:val="2E2E2E"/>
          <w:spacing w:val="-7"/>
        </w:rPr>
        <w:t> </w:t>
      </w:r>
      <w:r>
        <w:rPr>
          <w:color w:val="2E2E2E"/>
        </w:rPr>
        <w:t>of</w:t>
      </w:r>
      <w:r>
        <w:rPr>
          <w:color w:val="2E2E2E"/>
          <w:spacing w:val="-8"/>
        </w:rPr>
        <w:t> </w:t>
      </w:r>
      <w:r>
        <w:rPr>
          <w:color w:val="2E2E2E"/>
        </w:rPr>
        <w:t>the</w:t>
      </w:r>
      <w:r>
        <w:rPr>
          <w:color w:val="2E2E2E"/>
          <w:spacing w:val="-8"/>
        </w:rPr>
        <w:t> </w:t>
      </w:r>
      <w:r>
        <w:rPr>
          <w:color w:val="2E2E2E"/>
        </w:rPr>
        <w:t>academic</w:t>
      </w:r>
      <w:r>
        <w:rPr>
          <w:color w:val="2E2E2E"/>
          <w:spacing w:val="-8"/>
        </w:rPr>
        <w:t> </w:t>
      </w:r>
      <w:r>
        <w:rPr>
          <w:color w:val="2E2E2E"/>
        </w:rPr>
        <w:t>functional</w:t>
      </w:r>
      <w:r>
        <w:rPr>
          <w:color w:val="2E2E2E"/>
          <w:spacing w:val="-8"/>
        </w:rPr>
        <w:t> </w:t>
      </w:r>
      <w:r>
        <w:rPr>
          <w:color w:val="2E2E2E"/>
        </w:rPr>
        <w:t>impact</w:t>
      </w:r>
      <w:r>
        <w:rPr>
          <w:color w:val="2E2E2E"/>
          <w:spacing w:val="-10"/>
        </w:rPr>
        <w:t> </w:t>
      </w:r>
      <w:r>
        <w:rPr>
          <w:color w:val="2E2E2E"/>
        </w:rPr>
        <w:t>of</w:t>
      </w:r>
      <w:r>
        <w:rPr>
          <w:color w:val="2E2E2E"/>
          <w:spacing w:val="-8"/>
        </w:rPr>
        <w:t> </w:t>
      </w:r>
      <w:r>
        <w:rPr>
          <w:color w:val="2E2E2E"/>
        </w:rPr>
        <w:t>the</w:t>
      </w:r>
      <w:r>
        <w:rPr>
          <w:color w:val="2E2E2E"/>
          <w:spacing w:val="-8"/>
        </w:rPr>
        <w:t> </w:t>
      </w:r>
      <w:r>
        <w:rPr>
          <w:color w:val="2E2E2E"/>
        </w:rPr>
        <w:t>disability and</w:t>
      </w:r>
      <w:r>
        <w:rPr>
          <w:color w:val="2E2E2E"/>
          <w:spacing w:val="-5"/>
        </w:rPr>
        <w:t> </w:t>
      </w:r>
      <w:r>
        <w:rPr>
          <w:color w:val="2E2E2E"/>
        </w:rPr>
        <w:t>a</w:t>
      </w:r>
      <w:r>
        <w:rPr>
          <w:color w:val="2E2E2E"/>
          <w:spacing w:val="-4"/>
        </w:rPr>
        <w:t> </w:t>
      </w:r>
      <w:r>
        <w:rPr>
          <w:color w:val="2E2E2E"/>
        </w:rPr>
        <w:t>rationale</w:t>
      </w:r>
      <w:r>
        <w:rPr>
          <w:color w:val="2E2E2E"/>
          <w:spacing w:val="-4"/>
        </w:rPr>
        <w:t> </w:t>
      </w:r>
      <w:r>
        <w:rPr>
          <w:color w:val="2E2E2E"/>
        </w:rPr>
        <w:t>for</w:t>
      </w:r>
      <w:r>
        <w:rPr>
          <w:color w:val="2E2E2E"/>
          <w:spacing w:val="-4"/>
        </w:rPr>
        <w:t> </w:t>
      </w:r>
      <w:r>
        <w:rPr>
          <w:color w:val="2E2E2E"/>
        </w:rPr>
        <w:t>each</w:t>
      </w:r>
      <w:r>
        <w:rPr>
          <w:color w:val="2E2E2E"/>
          <w:spacing w:val="-5"/>
        </w:rPr>
        <w:t> </w:t>
      </w:r>
      <w:r>
        <w:rPr>
          <w:color w:val="2E2E2E"/>
        </w:rPr>
        <w:t>of</w:t>
      </w:r>
      <w:r>
        <w:rPr>
          <w:color w:val="2E2E2E"/>
          <w:spacing w:val="-4"/>
        </w:rPr>
        <w:t> </w:t>
      </w:r>
      <w:r>
        <w:rPr>
          <w:color w:val="2E2E2E"/>
        </w:rPr>
        <w:t>the</w:t>
      </w:r>
      <w:r>
        <w:rPr>
          <w:color w:val="2E2E2E"/>
          <w:spacing w:val="-4"/>
        </w:rPr>
        <w:t> </w:t>
      </w:r>
      <w:r>
        <w:rPr>
          <w:color w:val="2E2E2E"/>
        </w:rPr>
        <w:t>requested</w:t>
      </w:r>
      <w:r>
        <w:rPr>
          <w:color w:val="2E2E2E"/>
          <w:spacing w:val="-5"/>
        </w:rPr>
        <w:t> </w:t>
      </w:r>
      <w:r>
        <w:rPr>
          <w:color w:val="2E2E2E"/>
        </w:rPr>
        <w:t>accommodations</w:t>
      </w:r>
      <w:r>
        <w:rPr>
          <w:color w:val="2E2E2E"/>
          <w:spacing w:val="-4"/>
        </w:rPr>
        <w:t> </w:t>
      </w:r>
      <w:r>
        <w:rPr>
          <w:color w:val="2E2E2E"/>
        </w:rPr>
        <w:t>in</w:t>
      </w:r>
      <w:r>
        <w:rPr>
          <w:color w:val="2E2E2E"/>
          <w:spacing w:val="-6"/>
        </w:rPr>
        <w:t> </w:t>
      </w:r>
      <w:r>
        <w:rPr>
          <w:color w:val="2E2E2E"/>
        </w:rPr>
        <w:t>both</w:t>
      </w:r>
      <w:r>
        <w:rPr>
          <w:color w:val="2E2E2E"/>
          <w:spacing w:val="-5"/>
        </w:rPr>
        <w:t> </w:t>
      </w:r>
      <w:r>
        <w:rPr>
          <w:color w:val="2E2E2E"/>
        </w:rPr>
        <w:t>academic</w:t>
      </w:r>
      <w:r>
        <w:rPr>
          <w:color w:val="2E2E2E"/>
          <w:spacing w:val="-4"/>
        </w:rPr>
        <w:t> </w:t>
      </w:r>
      <w:r>
        <w:rPr>
          <w:color w:val="2E2E2E"/>
        </w:rPr>
        <w:t>and</w:t>
      </w:r>
      <w:r>
        <w:rPr>
          <w:color w:val="2E2E2E"/>
          <w:spacing w:val="-5"/>
        </w:rPr>
        <w:t> </w:t>
      </w:r>
      <w:r>
        <w:rPr>
          <w:color w:val="2E2E2E"/>
        </w:rPr>
        <w:t>residential</w:t>
      </w:r>
      <w:r>
        <w:rPr>
          <w:color w:val="2E2E2E"/>
          <w:spacing w:val="-5"/>
        </w:rPr>
        <w:t> </w:t>
      </w:r>
      <w:r>
        <w:rPr>
          <w:color w:val="2E2E2E"/>
        </w:rPr>
        <w:t>settings.</w:t>
      </w:r>
      <w:r>
        <w:rPr>
          <w:color w:val="2E2E2E"/>
          <w:spacing w:val="-5"/>
        </w:rPr>
        <w:t> </w:t>
      </w:r>
      <w:r>
        <w:rPr>
          <w:color w:val="2E2E2E"/>
        </w:rPr>
        <w:t>The nature, severity, and extent of the student's condition and the functional limitations as they relate to a postsecondary environment should be addressed. Typically, the recommendations cannot be supported</w:t>
      </w:r>
    </w:p>
    <w:p>
      <w:pPr>
        <w:pStyle w:val="BodyText"/>
        <w:spacing w:after="0" w:line="237" w:lineRule="auto"/>
        <w:jc w:val="both"/>
        <w:sectPr>
          <w:footerReference w:type="default" r:id="rId5"/>
          <w:type w:val="continuous"/>
          <w:pgSz w:w="12240" w:h="15840"/>
          <w:pgMar w:header="0" w:footer="1082" w:top="1540" w:bottom="1280" w:left="1080" w:right="1080"/>
          <w:pgNumType w:start="1"/>
        </w:sectPr>
      </w:pPr>
    </w:p>
    <w:p>
      <w:pPr>
        <w:pStyle w:val="BodyText"/>
        <w:spacing w:before="40"/>
        <w:ind w:left="355"/>
      </w:pPr>
      <w:r>
        <w:rPr>
          <w:color w:val="2E2E2E"/>
        </w:rPr>
        <w:t>solely</w:t>
      </w:r>
      <w:r>
        <w:rPr>
          <w:color w:val="2E2E2E"/>
          <w:spacing w:val="35"/>
        </w:rPr>
        <w:t> </w:t>
      </w:r>
      <w:r>
        <w:rPr>
          <w:color w:val="2E2E2E"/>
        </w:rPr>
        <w:t>by</w:t>
      </w:r>
      <w:r>
        <w:rPr>
          <w:color w:val="2E2E2E"/>
          <w:spacing w:val="35"/>
        </w:rPr>
        <w:t> </w:t>
      </w:r>
      <w:r>
        <w:rPr>
          <w:color w:val="2E2E2E"/>
        </w:rPr>
        <w:t>a</w:t>
      </w:r>
      <w:r>
        <w:rPr>
          <w:color w:val="2E2E2E"/>
          <w:spacing w:val="34"/>
        </w:rPr>
        <w:t> </w:t>
      </w:r>
      <w:r>
        <w:rPr>
          <w:color w:val="2E2E2E"/>
        </w:rPr>
        <w:t>history</w:t>
      </w:r>
      <w:r>
        <w:rPr>
          <w:color w:val="2E2E2E"/>
          <w:spacing w:val="35"/>
        </w:rPr>
        <w:t> </w:t>
      </w:r>
      <w:r>
        <w:rPr>
          <w:color w:val="2E2E2E"/>
        </w:rPr>
        <w:t>of</w:t>
      </w:r>
      <w:r>
        <w:rPr>
          <w:color w:val="2E2E2E"/>
          <w:spacing w:val="34"/>
        </w:rPr>
        <w:t> </w:t>
      </w:r>
      <w:r>
        <w:rPr>
          <w:color w:val="2E2E2E"/>
        </w:rPr>
        <w:t>prior</w:t>
      </w:r>
      <w:r>
        <w:rPr>
          <w:color w:val="2E2E2E"/>
          <w:spacing w:val="34"/>
        </w:rPr>
        <w:t> </w:t>
      </w:r>
      <w:r>
        <w:rPr>
          <w:color w:val="2E2E2E"/>
        </w:rPr>
        <w:t>accommodations</w:t>
      </w:r>
      <w:r>
        <w:rPr>
          <w:color w:val="2E2E2E"/>
          <w:spacing w:val="32"/>
        </w:rPr>
        <w:t> </w:t>
      </w:r>
      <w:r>
        <w:rPr>
          <w:color w:val="2E2E2E"/>
        </w:rPr>
        <w:t>or</w:t>
      </w:r>
      <w:r>
        <w:rPr>
          <w:color w:val="2E2E2E"/>
          <w:spacing w:val="34"/>
        </w:rPr>
        <w:t> </w:t>
      </w:r>
      <w:r>
        <w:rPr>
          <w:color w:val="2E2E2E"/>
        </w:rPr>
        <w:t>self-report.</w:t>
      </w:r>
      <w:r>
        <w:rPr>
          <w:color w:val="2E2E2E"/>
          <w:spacing w:val="34"/>
        </w:rPr>
        <w:t> </w:t>
      </w:r>
      <w:r>
        <w:rPr>
          <w:color w:val="2E2E2E"/>
        </w:rPr>
        <w:t>In</w:t>
      </w:r>
      <w:r>
        <w:rPr>
          <w:color w:val="2E2E2E"/>
          <w:spacing w:val="33"/>
        </w:rPr>
        <w:t> </w:t>
      </w:r>
      <w:r>
        <w:rPr>
          <w:color w:val="2E2E2E"/>
        </w:rPr>
        <w:t>some</w:t>
      </w:r>
      <w:r>
        <w:rPr>
          <w:color w:val="2E2E2E"/>
          <w:spacing w:val="35"/>
        </w:rPr>
        <w:t> </w:t>
      </w:r>
      <w:r>
        <w:rPr>
          <w:color w:val="2E2E2E"/>
        </w:rPr>
        <w:t>cases,</w:t>
      </w:r>
      <w:r>
        <w:rPr>
          <w:color w:val="2E2E2E"/>
          <w:spacing w:val="35"/>
        </w:rPr>
        <w:t> </w:t>
      </w:r>
      <w:r>
        <w:rPr>
          <w:color w:val="2E2E2E"/>
        </w:rPr>
        <w:t>an</w:t>
      </w:r>
      <w:r>
        <w:rPr>
          <w:color w:val="2E2E2E"/>
          <w:spacing w:val="31"/>
        </w:rPr>
        <w:t> </w:t>
      </w:r>
      <w:r>
        <w:rPr>
          <w:color w:val="2E2E2E"/>
        </w:rPr>
        <w:t>updated</w:t>
      </w:r>
      <w:r>
        <w:rPr>
          <w:color w:val="2E2E2E"/>
          <w:spacing w:val="33"/>
        </w:rPr>
        <w:t> </w:t>
      </w:r>
      <w:r>
        <w:rPr>
          <w:color w:val="2E2E2E"/>
        </w:rPr>
        <w:t>letter</w:t>
      </w:r>
      <w:r>
        <w:rPr>
          <w:color w:val="2E2E2E"/>
          <w:spacing w:val="34"/>
        </w:rPr>
        <w:t> </w:t>
      </w:r>
      <w:r>
        <w:rPr>
          <w:color w:val="2E2E2E"/>
        </w:rPr>
        <w:t>from</w:t>
      </w:r>
      <w:r>
        <w:rPr>
          <w:color w:val="2E2E2E"/>
          <w:spacing w:val="33"/>
        </w:rPr>
        <w:t> </w:t>
      </w:r>
      <w:r>
        <w:rPr>
          <w:color w:val="2E2E2E"/>
        </w:rPr>
        <w:t>a qualified professional may simply address why older documents or reports continue to be relevant.</w:t>
      </w:r>
    </w:p>
    <w:p>
      <w:pPr>
        <w:pStyle w:val="Heading1"/>
        <w:spacing w:line="267" w:lineRule="exact"/>
      </w:pPr>
      <w:r>
        <w:rPr>
          <w:color w:val="2E2E2E"/>
        </w:rPr>
        <w:t>Documentation</w:t>
      </w:r>
      <w:r>
        <w:rPr>
          <w:color w:val="2E2E2E"/>
          <w:spacing w:val="-7"/>
        </w:rPr>
        <w:t> </w:t>
      </w:r>
      <w:r>
        <w:rPr>
          <w:color w:val="2E2E2E"/>
        </w:rPr>
        <w:t>to</w:t>
      </w:r>
      <w:r>
        <w:rPr>
          <w:color w:val="2E2E2E"/>
          <w:spacing w:val="-6"/>
        </w:rPr>
        <w:t> </w:t>
      </w:r>
      <w:r>
        <w:rPr>
          <w:color w:val="2E2E2E"/>
        </w:rPr>
        <w:t>support</w:t>
      </w:r>
      <w:r>
        <w:rPr>
          <w:color w:val="2E2E2E"/>
          <w:spacing w:val="-3"/>
        </w:rPr>
        <w:t> </w:t>
      </w:r>
      <w:r>
        <w:rPr>
          <w:color w:val="2E2E2E"/>
        </w:rPr>
        <w:t>the</w:t>
      </w:r>
      <w:r>
        <w:rPr>
          <w:color w:val="2E2E2E"/>
          <w:spacing w:val="-5"/>
        </w:rPr>
        <w:t> </w:t>
      </w:r>
      <w:r>
        <w:rPr>
          <w:color w:val="2E2E2E"/>
        </w:rPr>
        <w:t>diagnosis</w:t>
      </w:r>
      <w:r>
        <w:rPr>
          <w:color w:val="2E2E2E"/>
          <w:spacing w:val="-5"/>
        </w:rPr>
        <w:t> </w:t>
      </w:r>
      <w:r>
        <w:rPr>
          <w:color w:val="2E2E2E"/>
        </w:rPr>
        <w:t>should</w:t>
      </w:r>
      <w:r>
        <w:rPr>
          <w:color w:val="2E2E2E"/>
          <w:spacing w:val="-4"/>
        </w:rPr>
        <w:t> </w:t>
      </w:r>
      <w:r>
        <w:rPr>
          <w:color w:val="2E2E2E"/>
        </w:rPr>
        <w:t>be</w:t>
      </w:r>
      <w:r>
        <w:rPr>
          <w:color w:val="2E2E2E"/>
          <w:spacing w:val="-5"/>
        </w:rPr>
        <w:t> </w:t>
      </w:r>
      <w:r>
        <w:rPr>
          <w:color w:val="2E2E2E"/>
          <w:spacing w:val="-2"/>
        </w:rPr>
        <w:t>comprehensive.</w:t>
      </w:r>
    </w:p>
    <w:p>
      <w:pPr>
        <w:pStyle w:val="BodyText"/>
        <w:spacing w:before="41"/>
        <w:rPr>
          <w:b/>
        </w:rPr>
      </w:pPr>
    </w:p>
    <w:p>
      <w:pPr>
        <w:pStyle w:val="BodyText"/>
        <w:spacing w:line="247" w:lineRule="auto" w:before="1"/>
        <w:ind w:left="360" w:right="402"/>
      </w:pPr>
      <w:r>
        <w:rPr>
          <w:b/>
          <w:color w:val="2E2E2E"/>
        </w:rPr>
        <w:t>Specific diagnosis</w:t>
      </w:r>
      <w:r>
        <w:rPr>
          <w:color w:val="2E2E2E"/>
        </w:rPr>
        <w:t>. Qualified professionals are encouraged to cite the specific objective measures used to</w:t>
      </w:r>
      <w:r>
        <w:rPr>
          <w:color w:val="2E2E2E"/>
          <w:spacing w:val="-1"/>
        </w:rPr>
        <w:t> </w:t>
      </w:r>
      <w:r>
        <w:rPr>
          <w:color w:val="2E2E2E"/>
        </w:rPr>
        <w:t>help</w:t>
      </w:r>
      <w:r>
        <w:rPr>
          <w:color w:val="2E2E2E"/>
          <w:spacing w:val="-6"/>
        </w:rPr>
        <w:t> </w:t>
      </w:r>
      <w:r>
        <w:rPr>
          <w:color w:val="2E2E2E"/>
        </w:rPr>
        <w:t>substantiate</w:t>
      </w:r>
      <w:r>
        <w:rPr>
          <w:color w:val="2E2E2E"/>
          <w:spacing w:val="-1"/>
        </w:rPr>
        <w:t> </w:t>
      </w:r>
      <w:r>
        <w:rPr>
          <w:color w:val="2E2E2E"/>
        </w:rPr>
        <w:t>differential</w:t>
      </w:r>
      <w:r>
        <w:rPr>
          <w:color w:val="2E2E2E"/>
          <w:spacing w:val="-2"/>
        </w:rPr>
        <w:t> </w:t>
      </w:r>
      <w:r>
        <w:rPr>
          <w:color w:val="2E2E2E"/>
        </w:rPr>
        <w:t>diagnoses.</w:t>
      </w:r>
      <w:r>
        <w:rPr>
          <w:color w:val="2E2E2E"/>
          <w:spacing w:val="-4"/>
        </w:rPr>
        <w:t> </w:t>
      </w:r>
      <w:r>
        <w:rPr>
          <w:color w:val="2E2E2E"/>
        </w:rPr>
        <w:t>The</w:t>
      </w:r>
      <w:r>
        <w:rPr>
          <w:color w:val="2E2E2E"/>
          <w:spacing w:val="-4"/>
        </w:rPr>
        <w:t> </w:t>
      </w:r>
      <w:r>
        <w:rPr>
          <w:color w:val="2E2E2E"/>
        </w:rPr>
        <w:t>evaluator</w:t>
      </w:r>
      <w:r>
        <w:rPr>
          <w:color w:val="2E2E2E"/>
          <w:spacing w:val="-2"/>
        </w:rPr>
        <w:t> </w:t>
      </w:r>
      <w:r>
        <w:rPr>
          <w:color w:val="2E2E2E"/>
        </w:rPr>
        <w:t>should</w:t>
      </w:r>
      <w:r>
        <w:rPr>
          <w:color w:val="2E2E2E"/>
          <w:spacing w:val="-4"/>
        </w:rPr>
        <w:t> </w:t>
      </w:r>
      <w:r>
        <w:rPr>
          <w:color w:val="2E2E2E"/>
        </w:rPr>
        <w:t>use</w:t>
      </w:r>
      <w:r>
        <w:rPr>
          <w:color w:val="2E2E2E"/>
          <w:spacing w:val="-2"/>
        </w:rPr>
        <w:t> </w:t>
      </w:r>
      <w:r>
        <w:rPr>
          <w:color w:val="2E2E2E"/>
        </w:rPr>
        <w:t>definitive</w:t>
      </w:r>
      <w:r>
        <w:rPr>
          <w:color w:val="2E2E2E"/>
          <w:spacing w:val="-2"/>
        </w:rPr>
        <w:t> </w:t>
      </w:r>
      <w:r>
        <w:rPr>
          <w:color w:val="2E2E2E"/>
        </w:rPr>
        <w:t>language</w:t>
      </w:r>
      <w:r>
        <w:rPr>
          <w:color w:val="2E2E2E"/>
          <w:spacing w:val="-2"/>
        </w:rPr>
        <w:t> </w:t>
      </w:r>
      <w:r>
        <w:rPr>
          <w:color w:val="2E2E2E"/>
        </w:rPr>
        <w:t>in</w:t>
      </w:r>
      <w:r>
        <w:rPr>
          <w:color w:val="2E2E2E"/>
          <w:spacing w:val="-4"/>
        </w:rPr>
        <w:t> </w:t>
      </w:r>
      <w:r>
        <w:rPr>
          <w:color w:val="2E2E2E"/>
        </w:rPr>
        <w:t>the</w:t>
      </w:r>
      <w:r>
        <w:rPr>
          <w:color w:val="2E2E2E"/>
          <w:spacing w:val="-2"/>
        </w:rPr>
        <w:t> </w:t>
      </w:r>
      <w:r>
        <w:rPr>
          <w:color w:val="2E2E2E"/>
        </w:rPr>
        <w:t>diagnosis of a visual condition, avoiding such speculative language as "suggests," "is consistent with," or "could have problems with."</w:t>
      </w:r>
    </w:p>
    <w:p>
      <w:pPr>
        <w:spacing w:line="247" w:lineRule="auto" w:before="148"/>
        <w:ind w:left="360" w:right="353" w:firstLine="0"/>
        <w:jc w:val="left"/>
        <w:rPr>
          <w:sz w:val="22"/>
        </w:rPr>
      </w:pPr>
      <w:r>
        <w:rPr>
          <w:b/>
          <w:color w:val="2E2E2E"/>
          <w:sz w:val="22"/>
        </w:rPr>
        <w:t>Description</w:t>
      </w:r>
      <w:r>
        <w:rPr>
          <w:b/>
          <w:color w:val="2E2E2E"/>
          <w:spacing w:val="-3"/>
          <w:sz w:val="22"/>
        </w:rPr>
        <w:t> </w:t>
      </w:r>
      <w:r>
        <w:rPr>
          <w:b/>
          <w:color w:val="2E2E2E"/>
          <w:sz w:val="22"/>
        </w:rPr>
        <w:t>of</w:t>
      </w:r>
      <w:r>
        <w:rPr>
          <w:b/>
          <w:color w:val="2E2E2E"/>
          <w:spacing w:val="-2"/>
          <w:sz w:val="22"/>
        </w:rPr>
        <w:t> </w:t>
      </w:r>
      <w:r>
        <w:rPr>
          <w:b/>
          <w:color w:val="2E2E2E"/>
          <w:sz w:val="22"/>
        </w:rPr>
        <w:t>current</w:t>
      </w:r>
      <w:r>
        <w:rPr>
          <w:b/>
          <w:color w:val="2E2E2E"/>
          <w:spacing w:val="-2"/>
          <w:sz w:val="22"/>
        </w:rPr>
        <w:t> </w:t>
      </w:r>
      <w:r>
        <w:rPr>
          <w:b/>
          <w:color w:val="2E2E2E"/>
          <w:sz w:val="22"/>
        </w:rPr>
        <w:t>functional</w:t>
      </w:r>
      <w:r>
        <w:rPr>
          <w:b/>
          <w:color w:val="2E2E2E"/>
          <w:spacing w:val="-2"/>
          <w:sz w:val="22"/>
        </w:rPr>
        <w:t> </w:t>
      </w:r>
      <w:r>
        <w:rPr>
          <w:b/>
          <w:color w:val="2E2E2E"/>
          <w:sz w:val="22"/>
        </w:rPr>
        <w:t>limitations</w:t>
      </w:r>
      <w:r>
        <w:rPr>
          <w:color w:val="2E2E2E"/>
          <w:sz w:val="22"/>
        </w:rPr>
        <w:t>.</w:t>
      </w:r>
      <w:r>
        <w:rPr>
          <w:color w:val="2E2E2E"/>
          <w:spacing w:val="-5"/>
          <w:sz w:val="22"/>
        </w:rPr>
        <w:t> </w:t>
      </w:r>
      <w:r>
        <w:rPr>
          <w:color w:val="2E2E2E"/>
          <w:sz w:val="22"/>
        </w:rPr>
        <w:t>This</w:t>
      </w:r>
      <w:r>
        <w:rPr>
          <w:color w:val="2E2E2E"/>
          <w:spacing w:val="-2"/>
          <w:sz w:val="22"/>
        </w:rPr>
        <w:t> </w:t>
      </w:r>
      <w:r>
        <w:rPr>
          <w:color w:val="2E2E2E"/>
          <w:sz w:val="22"/>
        </w:rPr>
        <w:t>would</w:t>
      </w:r>
      <w:r>
        <w:rPr>
          <w:color w:val="2E2E2E"/>
          <w:spacing w:val="-4"/>
          <w:sz w:val="22"/>
        </w:rPr>
        <w:t> </w:t>
      </w:r>
      <w:r>
        <w:rPr>
          <w:color w:val="2E2E2E"/>
          <w:sz w:val="22"/>
        </w:rPr>
        <w:t>include</w:t>
      </w:r>
      <w:r>
        <w:rPr>
          <w:color w:val="2E2E2E"/>
          <w:spacing w:val="-2"/>
          <w:sz w:val="22"/>
        </w:rPr>
        <w:t> </w:t>
      </w:r>
      <w:r>
        <w:rPr>
          <w:color w:val="2E2E2E"/>
          <w:sz w:val="22"/>
        </w:rPr>
        <w:t>daily</w:t>
      </w:r>
      <w:r>
        <w:rPr>
          <w:color w:val="2E2E2E"/>
          <w:spacing w:val="-2"/>
          <w:sz w:val="22"/>
        </w:rPr>
        <w:t> </w:t>
      </w:r>
      <w:r>
        <w:rPr>
          <w:color w:val="2E2E2E"/>
          <w:sz w:val="22"/>
        </w:rPr>
        <w:t>life</w:t>
      </w:r>
      <w:r>
        <w:rPr>
          <w:color w:val="2E2E2E"/>
          <w:spacing w:val="-4"/>
          <w:sz w:val="22"/>
        </w:rPr>
        <w:t> </w:t>
      </w:r>
      <w:r>
        <w:rPr>
          <w:color w:val="2E2E2E"/>
          <w:sz w:val="22"/>
        </w:rPr>
        <w:t>activities</w:t>
      </w:r>
      <w:r>
        <w:rPr>
          <w:color w:val="2E2E2E"/>
          <w:spacing w:val="-1"/>
          <w:sz w:val="22"/>
        </w:rPr>
        <w:t> </w:t>
      </w:r>
      <w:r>
        <w:rPr>
          <w:color w:val="2E2E2E"/>
          <w:sz w:val="22"/>
        </w:rPr>
        <w:t>in</w:t>
      </w:r>
      <w:r>
        <w:rPr>
          <w:color w:val="2E2E2E"/>
          <w:spacing w:val="-4"/>
          <w:sz w:val="22"/>
        </w:rPr>
        <w:t> </w:t>
      </w:r>
      <w:r>
        <w:rPr>
          <w:color w:val="2E2E2E"/>
          <w:sz w:val="22"/>
        </w:rPr>
        <w:t>academics</w:t>
      </w:r>
      <w:r>
        <w:rPr>
          <w:color w:val="2E2E2E"/>
          <w:spacing w:val="-2"/>
          <w:sz w:val="22"/>
        </w:rPr>
        <w:t> </w:t>
      </w:r>
      <w:r>
        <w:rPr>
          <w:color w:val="2E2E2E"/>
          <w:sz w:val="22"/>
        </w:rPr>
        <w:t>and housing with the understanding that a disability usually presents itself across a variety of settings.</w:t>
      </w:r>
    </w:p>
    <w:p>
      <w:pPr>
        <w:pStyle w:val="BodyText"/>
        <w:spacing w:line="249" w:lineRule="auto" w:before="143"/>
        <w:ind w:left="360"/>
      </w:pPr>
      <w:r>
        <w:rPr>
          <w:b/>
          <w:color w:val="2E2E2E"/>
        </w:rPr>
        <w:t>History</w:t>
      </w:r>
      <w:r>
        <w:rPr>
          <w:color w:val="2E2E2E"/>
        </w:rPr>
        <w:t>.</w:t>
      </w:r>
      <w:r>
        <w:rPr>
          <w:color w:val="2E2E2E"/>
          <w:spacing w:val="-1"/>
        </w:rPr>
        <w:t> </w:t>
      </w:r>
      <w:r>
        <w:rPr>
          <w:color w:val="2E2E2E"/>
        </w:rPr>
        <w:t>This</w:t>
      </w:r>
      <w:r>
        <w:rPr>
          <w:color w:val="2E2E2E"/>
          <w:spacing w:val="-4"/>
        </w:rPr>
        <w:t> </w:t>
      </w:r>
      <w:r>
        <w:rPr>
          <w:color w:val="2E2E2E"/>
        </w:rPr>
        <w:t>would</w:t>
      </w:r>
      <w:r>
        <w:rPr>
          <w:color w:val="2E2E2E"/>
          <w:spacing w:val="-3"/>
        </w:rPr>
        <w:t> </w:t>
      </w:r>
      <w:r>
        <w:rPr>
          <w:color w:val="2E2E2E"/>
        </w:rPr>
        <w:t>include</w:t>
      </w:r>
      <w:r>
        <w:rPr>
          <w:color w:val="2E2E2E"/>
          <w:spacing w:val="-3"/>
        </w:rPr>
        <w:t> </w:t>
      </w:r>
      <w:r>
        <w:rPr>
          <w:color w:val="2E2E2E"/>
        </w:rPr>
        <w:t>a</w:t>
      </w:r>
      <w:r>
        <w:rPr>
          <w:color w:val="2E2E2E"/>
          <w:spacing w:val="-1"/>
        </w:rPr>
        <w:t> </w:t>
      </w:r>
      <w:r>
        <w:rPr>
          <w:color w:val="2E2E2E"/>
        </w:rPr>
        <w:t>history</w:t>
      </w:r>
      <w:r>
        <w:rPr>
          <w:color w:val="2E2E2E"/>
          <w:spacing w:val="-3"/>
        </w:rPr>
        <w:t> </w:t>
      </w:r>
      <w:r>
        <w:rPr>
          <w:color w:val="2E2E2E"/>
        </w:rPr>
        <w:t>of</w:t>
      </w:r>
      <w:r>
        <w:rPr>
          <w:color w:val="2E2E2E"/>
          <w:spacing w:val="-1"/>
        </w:rPr>
        <w:t> </w:t>
      </w:r>
      <w:r>
        <w:rPr>
          <w:color w:val="2E2E2E"/>
        </w:rPr>
        <w:t>presenting</w:t>
      </w:r>
      <w:r>
        <w:rPr>
          <w:color w:val="2E2E2E"/>
          <w:spacing w:val="-2"/>
        </w:rPr>
        <w:t> </w:t>
      </w:r>
      <w:r>
        <w:rPr>
          <w:color w:val="2E2E2E"/>
        </w:rPr>
        <w:t>symptoms,</w:t>
      </w:r>
      <w:r>
        <w:rPr>
          <w:color w:val="2E2E2E"/>
          <w:spacing w:val="-1"/>
        </w:rPr>
        <w:t> </w:t>
      </w:r>
      <w:r>
        <w:rPr>
          <w:color w:val="2E2E2E"/>
        </w:rPr>
        <w:t>date</w:t>
      </w:r>
      <w:r>
        <w:rPr>
          <w:color w:val="2E2E2E"/>
          <w:spacing w:val="-3"/>
        </w:rPr>
        <w:t> </w:t>
      </w:r>
      <w:r>
        <w:rPr>
          <w:color w:val="2E2E2E"/>
        </w:rPr>
        <w:t>of</w:t>
      </w:r>
      <w:r>
        <w:rPr>
          <w:color w:val="2E2E2E"/>
          <w:spacing w:val="-4"/>
        </w:rPr>
        <w:t> </w:t>
      </w:r>
      <w:r>
        <w:rPr>
          <w:color w:val="2E2E2E"/>
        </w:rPr>
        <w:t>onset, duration</w:t>
      </w:r>
      <w:r>
        <w:rPr>
          <w:color w:val="2E2E2E"/>
          <w:spacing w:val="-2"/>
        </w:rPr>
        <w:t> </w:t>
      </w:r>
      <w:r>
        <w:rPr>
          <w:color w:val="2E2E2E"/>
        </w:rPr>
        <w:t>and</w:t>
      </w:r>
      <w:r>
        <w:rPr>
          <w:color w:val="2E2E2E"/>
          <w:spacing w:val="-3"/>
        </w:rPr>
        <w:t> </w:t>
      </w:r>
      <w:r>
        <w:rPr>
          <w:color w:val="2E2E2E"/>
        </w:rPr>
        <w:t>severity</w:t>
      </w:r>
      <w:r>
        <w:rPr>
          <w:color w:val="2E2E2E"/>
          <w:spacing w:val="-3"/>
        </w:rPr>
        <w:t> </w:t>
      </w:r>
      <w:r>
        <w:rPr>
          <w:color w:val="2E2E2E"/>
        </w:rPr>
        <w:t>of</w:t>
      </w:r>
      <w:r>
        <w:rPr>
          <w:color w:val="2E2E2E"/>
          <w:spacing w:val="-3"/>
        </w:rPr>
        <w:t> </w:t>
      </w:r>
      <w:r>
        <w:rPr>
          <w:color w:val="2E2E2E"/>
        </w:rPr>
        <w:t>the disorder, and whether the disorder is stable, progressive or degenerative.</w:t>
      </w:r>
    </w:p>
    <w:p>
      <w:pPr>
        <w:pStyle w:val="BodyText"/>
        <w:spacing w:line="247" w:lineRule="auto" w:before="140"/>
        <w:ind w:left="360" w:right="353"/>
      </w:pPr>
      <w:r>
        <w:rPr>
          <w:b/>
          <w:color w:val="2E2E2E"/>
        </w:rPr>
        <w:t>Current</w:t>
      </w:r>
      <w:r>
        <w:rPr>
          <w:b/>
          <w:color w:val="2E2E2E"/>
          <w:spacing w:val="-5"/>
        </w:rPr>
        <w:t> </w:t>
      </w:r>
      <w:r>
        <w:rPr>
          <w:b/>
          <w:color w:val="2E2E2E"/>
        </w:rPr>
        <w:t>medical</w:t>
      </w:r>
      <w:r>
        <w:rPr>
          <w:b/>
          <w:color w:val="2E2E2E"/>
          <w:spacing w:val="-3"/>
        </w:rPr>
        <w:t> </w:t>
      </w:r>
      <w:r>
        <w:rPr>
          <w:b/>
          <w:color w:val="2E2E2E"/>
        </w:rPr>
        <w:t>information</w:t>
      </w:r>
      <w:r>
        <w:rPr>
          <w:color w:val="2E2E2E"/>
        </w:rPr>
        <w:t>.</w:t>
      </w:r>
      <w:r>
        <w:rPr>
          <w:color w:val="2E2E2E"/>
          <w:spacing w:val="-3"/>
        </w:rPr>
        <w:t> </w:t>
      </w:r>
      <w:r>
        <w:rPr>
          <w:color w:val="2E2E2E"/>
        </w:rPr>
        <w:t>This</w:t>
      </w:r>
      <w:r>
        <w:rPr>
          <w:color w:val="2E2E2E"/>
          <w:spacing w:val="-3"/>
        </w:rPr>
        <w:t> </w:t>
      </w:r>
      <w:r>
        <w:rPr>
          <w:color w:val="2E2E2E"/>
        </w:rPr>
        <w:t>would</w:t>
      </w:r>
      <w:r>
        <w:rPr>
          <w:color w:val="2E2E2E"/>
          <w:spacing w:val="-5"/>
        </w:rPr>
        <w:t> </w:t>
      </w:r>
      <w:r>
        <w:rPr>
          <w:color w:val="2E2E2E"/>
        </w:rPr>
        <w:t>include</w:t>
      </w:r>
      <w:r>
        <w:rPr>
          <w:color w:val="2E2E2E"/>
          <w:spacing w:val="-5"/>
        </w:rPr>
        <w:t> </w:t>
      </w:r>
      <w:r>
        <w:rPr>
          <w:color w:val="2E2E2E"/>
        </w:rPr>
        <w:t>relevant</w:t>
      </w:r>
      <w:r>
        <w:rPr>
          <w:color w:val="2E2E2E"/>
          <w:spacing w:val="-3"/>
        </w:rPr>
        <w:t> </w:t>
      </w:r>
      <w:r>
        <w:rPr>
          <w:color w:val="2E2E2E"/>
        </w:rPr>
        <w:t>developmental,</w:t>
      </w:r>
      <w:r>
        <w:rPr>
          <w:color w:val="2E2E2E"/>
          <w:spacing w:val="-5"/>
        </w:rPr>
        <w:t> </w:t>
      </w:r>
      <w:r>
        <w:rPr>
          <w:color w:val="2E2E2E"/>
        </w:rPr>
        <w:t>medical,</w:t>
      </w:r>
      <w:r>
        <w:rPr>
          <w:color w:val="2E2E2E"/>
          <w:spacing w:val="-3"/>
        </w:rPr>
        <w:t> </w:t>
      </w:r>
      <w:r>
        <w:rPr>
          <w:color w:val="2E2E2E"/>
        </w:rPr>
        <w:t>and</w:t>
      </w:r>
      <w:r>
        <w:rPr>
          <w:color w:val="2E2E2E"/>
          <w:spacing w:val="-4"/>
        </w:rPr>
        <w:t> </w:t>
      </w:r>
      <w:r>
        <w:rPr>
          <w:color w:val="2E2E2E"/>
        </w:rPr>
        <w:t>historical</w:t>
      </w:r>
      <w:r>
        <w:rPr>
          <w:color w:val="2E2E2E"/>
          <w:spacing w:val="-3"/>
        </w:rPr>
        <w:t> </w:t>
      </w:r>
      <w:r>
        <w:rPr>
          <w:color w:val="2E2E2E"/>
        </w:rPr>
        <w:t>data about the condition and how the current functional limitations restrict the condition, manner, or duration of the student’s performance of major life activities.</w:t>
      </w:r>
    </w:p>
    <w:p>
      <w:pPr>
        <w:pStyle w:val="BodyText"/>
        <w:spacing w:before="8"/>
      </w:pPr>
    </w:p>
    <w:p>
      <w:pPr>
        <w:pStyle w:val="Heading1"/>
        <w:ind w:left="346"/>
      </w:pPr>
      <w:r>
        <w:rPr>
          <w:color w:val="2E2E2E"/>
        </w:rPr>
        <w:t>Relevant</w:t>
      </w:r>
      <w:r>
        <w:rPr>
          <w:color w:val="2E2E2E"/>
          <w:spacing w:val="-7"/>
        </w:rPr>
        <w:t> </w:t>
      </w:r>
      <w:r>
        <w:rPr>
          <w:color w:val="2E2E2E"/>
        </w:rPr>
        <w:t>Disability</w:t>
      </w:r>
      <w:r>
        <w:rPr>
          <w:color w:val="2E2E2E"/>
          <w:spacing w:val="-8"/>
        </w:rPr>
        <w:t> </w:t>
      </w:r>
      <w:r>
        <w:rPr>
          <w:color w:val="2E2E2E"/>
        </w:rPr>
        <w:t>Specific</w:t>
      </w:r>
      <w:r>
        <w:rPr>
          <w:color w:val="2E2E2E"/>
          <w:spacing w:val="-8"/>
        </w:rPr>
        <w:t> </w:t>
      </w:r>
      <w:r>
        <w:rPr>
          <w:color w:val="2E2E2E"/>
          <w:spacing w:val="-2"/>
        </w:rPr>
        <w:t>Information.</w:t>
      </w:r>
    </w:p>
    <w:p>
      <w:pPr>
        <w:pStyle w:val="ListParagraph"/>
        <w:numPr>
          <w:ilvl w:val="0"/>
          <w:numId w:val="1"/>
        </w:numPr>
        <w:tabs>
          <w:tab w:pos="1065" w:val="left" w:leader="none"/>
        </w:tabs>
        <w:spacing w:line="240" w:lineRule="auto" w:before="22" w:after="0"/>
        <w:ind w:left="1065" w:right="0" w:hanging="359"/>
        <w:jc w:val="left"/>
        <w:rPr>
          <w:sz w:val="22"/>
        </w:rPr>
      </w:pPr>
      <w:r>
        <w:rPr>
          <w:color w:val="2E2E2E"/>
          <w:sz w:val="22"/>
        </w:rPr>
        <w:t>Best</w:t>
      </w:r>
      <w:r>
        <w:rPr>
          <w:color w:val="2E2E2E"/>
          <w:spacing w:val="-4"/>
          <w:sz w:val="22"/>
        </w:rPr>
        <w:t> </w:t>
      </w:r>
      <w:r>
        <w:rPr>
          <w:color w:val="2E2E2E"/>
          <w:sz w:val="22"/>
        </w:rPr>
        <w:t>corrected</w:t>
      </w:r>
      <w:r>
        <w:rPr>
          <w:color w:val="2E2E2E"/>
          <w:spacing w:val="-3"/>
          <w:sz w:val="22"/>
        </w:rPr>
        <w:t> </w:t>
      </w:r>
      <w:r>
        <w:rPr>
          <w:color w:val="2E2E2E"/>
          <w:sz w:val="22"/>
        </w:rPr>
        <w:t>visual</w:t>
      </w:r>
      <w:r>
        <w:rPr>
          <w:color w:val="2E2E2E"/>
          <w:spacing w:val="-6"/>
          <w:sz w:val="22"/>
        </w:rPr>
        <w:t> </w:t>
      </w:r>
      <w:r>
        <w:rPr>
          <w:color w:val="2E2E2E"/>
          <w:sz w:val="22"/>
        </w:rPr>
        <w:t>acuities</w:t>
      </w:r>
      <w:r>
        <w:rPr>
          <w:color w:val="2E2E2E"/>
          <w:spacing w:val="-3"/>
          <w:sz w:val="22"/>
        </w:rPr>
        <w:t> </w:t>
      </w:r>
      <w:r>
        <w:rPr>
          <w:color w:val="2E2E2E"/>
          <w:sz w:val="22"/>
        </w:rPr>
        <w:t>for</w:t>
      </w:r>
      <w:r>
        <w:rPr>
          <w:color w:val="2E2E2E"/>
          <w:spacing w:val="-3"/>
          <w:sz w:val="22"/>
        </w:rPr>
        <w:t> </w:t>
      </w:r>
      <w:r>
        <w:rPr>
          <w:color w:val="2E2E2E"/>
          <w:sz w:val="22"/>
        </w:rPr>
        <w:t>distance</w:t>
      </w:r>
      <w:r>
        <w:rPr>
          <w:color w:val="2E2E2E"/>
          <w:spacing w:val="-3"/>
          <w:sz w:val="22"/>
        </w:rPr>
        <w:t> </w:t>
      </w:r>
      <w:r>
        <w:rPr>
          <w:color w:val="2E2E2E"/>
          <w:sz w:val="22"/>
        </w:rPr>
        <w:t>and</w:t>
      </w:r>
      <w:r>
        <w:rPr>
          <w:color w:val="2E2E2E"/>
          <w:spacing w:val="-4"/>
          <w:sz w:val="22"/>
        </w:rPr>
        <w:t> </w:t>
      </w:r>
      <w:r>
        <w:rPr>
          <w:color w:val="2E2E2E"/>
          <w:sz w:val="22"/>
        </w:rPr>
        <w:t>near</w:t>
      </w:r>
      <w:r>
        <w:rPr>
          <w:color w:val="2E2E2E"/>
          <w:spacing w:val="-6"/>
          <w:sz w:val="22"/>
        </w:rPr>
        <w:t> </w:t>
      </w:r>
      <w:r>
        <w:rPr>
          <w:color w:val="2E2E2E"/>
          <w:spacing w:val="-2"/>
          <w:sz w:val="22"/>
        </w:rPr>
        <w:t>vision;</w:t>
      </w:r>
    </w:p>
    <w:p>
      <w:pPr>
        <w:pStyle w:val="ListParagraph"/>
        <w:numPr>
          <w:ilvl w:val="0"/>
          <w:numId w:val="1"/>
        </w:numPr>
        <w:tabs>
          <w:tab w:pos="1064" w:val="left" w:leader="none"/>
        </w:tabs>
        <w:spacing w:line="240" w:lineRule="auto" w:before="142" w:after="0"/>
        <w:ind w:left="1064" w:right="0" w:hanging="358"/>
        <w:jc w:val="left"/>
        <w:rPr>
          <w:sz w:val="22"/>
        </w:rPr>
      </w:pPr>
      <w:r>
        <w:rPr>
          <w:color w:val="2E2E2E"/>
          <w:sz w:val="22"/>
        </w:rPr>
        <w:t>Eye </w:t>
      </w:r>
      <w:r>
        <w:rPr>
          <w:color w:val="2E2E2E"/>
          <w:spacing w:val="-2"/>
          <w:sz w:val="22"/>
        </w:rPr>
        <w:t>health;</w:t>
      </w:r>
    </w:p>
    <w:p>
      <w:pPr>
        <w:pStyle w:val="ListParagraph"/>
        <w:numPr>
          <w:ilvl w:val="0"/>
          <w:numId w:val="1"/>
        </w:numPr>
        <w:tabs>
          <w:tab w:pos="1064" w:val="left" w:leader="none"/>
        </w:tabs>
        <w:spacing w:line="240" w:lineRule="auto" w:before="144" w:after="0"/>
        <w:ind w:left="1064" w:right="0" w:hanging="358"/>
        <w:jc w:val="left"/>
        <w:rPr>
          <w:sz w:val="22"/>
        </w:rPr>
      </w:pPr>
      <w:r>
        <w:rPr>
          <w:color w:val="2E2E2E"/>
          <w:sz w:val="22"/>
        </w:rPr>
        <w:t>Visual</w:t>
      </w:r>
      <w:r>
        <w:rPr>
          <w:color w:val="2E2E2E"/>
          <w:spacing w:val="-4"/>
          <w:sz w:val="22"/>
        </w:rPr>
        <w:t> </w:t>
      </w:r>
      <w:r>
        <w:rPr>
          <w:color w:val="2E2E2E"/>
          <w:spacing w:val="-2"/>
          <w:sz w:val="22"/>
        </w:rPr>
        <w:t>fields;</w:t>
      </w:r>
    </w:p>
    <w:p>
      <w:pPr>
        <w:pStyle w:val="ListParagraph"/>
        <w:numPr>
          <w:ilvl w:val="0"/>
          <w:numId w:val="1"/>
        </w:numPr>
        <w:tabs>
          <w:tab w:pos="1064" w:val="left" w:leader="none"/>
        </w:tabs>
        <w:spacing w:line="240" w:lineRule="auto" w:before="142" w:after="0"/>
        <w:ind w:left="1064" w:right="0" w:hanging="358"/>
        <w:jc w:val="left"/>
        <w:rPr>
          <w:sz w:val="22"/>
        </w:rPr>
      </w:pPr>
      <w:r>
        <w:rPr>
          <w:color w:val="2E2E2E"/>
          <w:sz w:val="22"/>
        </w:rPr>
        <w:t>Clinical</w:t>
      </w:r>
      <w:r>
        <w:rPr>
          <w:color w:val="2E2E2E"/>
          <w:spacing w:val="-3"/>
          <w:sz w:val="22"/>
        </w:rPr>
        <w:t> </w:t>
      </w:r>
      <w:r>
        <w:rPr>
          <w:color w:val="2E2E2E"/>
          <w:spacing w:val="-2"/>
          <w:sz w:val="22"/>
        </w:rPr>
        <w:t>observations;</w:t>
      </w:r>
    </w:p>
    <w:p>
      <w:pPr>
        <w:pStyle w:val="ListParagraph"/>
        <w:numPr>
          <w:ilvl w:val="0"/>
          <w:numId w:val="1"/>
        </w:numPr>
        <w:tabs>
          <w:tab w:pos="1066" w:val="left" w:leader="none"/>
        </w:tabs>
        <w:spacing w:line="240" w:lineRule="auto" w:before="142" w:after="0"/>
        <w:ind w:left="1066" w:right="536" w:hanging="360"/>
        <w:jc w:val="left"/>
        <w:rPr>
          <w:sz w:val="22"/>
        </w:rPr>
      </w:pPr>
      <w:r>
        <w:rPr>
          <w:color w:val="2E2E2E"/>
          <w:sz w:val="22"/>
        </w:rPr>
        <w:t>Binocular</w:t>
      </w:r>
      <w:r>
        <w:rPr>
          <w:color w:val="2E2E2E"/>
          <w:spacing w:val="-2"/>
          <w:sz w:val="22"/>
        </w:rPr>
        <w:t> </w:t>
      </w:r>
      <w:r>
        <w:rPr>
          <w:color w:val="2E2E2E"/>
          <w:sz w:val="22"/>
        </w:rPr>
        <w:t>evaluation:</w:t>
      </w:r>
      <w:r>
        <w:rPr>
          <w:color w:val="2E2E2E"/>
          <w:spacing w:val="-4"/>
          <w:sz w:val="22"/>
        </w:rPr>
        <w:t> </w:t>
      </w:r>
      <w:r>
        <w:rPr>
          <w:color w:val="2E2E2E"/>
          <w:sz w:val="22"/>
        </w:rPr>
        <w:t>whether</w:t>
      </w:r>
      <w:r>
        <w:rPr>
          <w:color w:val="2E2E2E"/>
          <w:spacing w:val="-2"/>
          <w:sz w:val="22"/>
        </w:rPr>
        <w:t> </w:t>
      </w:r>
      <w:r>
        <w:rPr>
          <w:color w:val="2E2E2E"/>
          <w:sz w:val="22"/>
        </w:rPr>
        <w:t>the</w:t>
      </w:r>
      <w:r>
        <w:rPr>
          <w:color w:val="2E2E2E"/>
          <w:spacing w:val="-2"/>
          <w:sz w:val="22"/>
        </w:rPr>
        <w:t> </w:t>
      </w:r>
      <w:r>
        <w:rPr>
          <w:color w:val="2E2E2E"/>
          <w:sz w:val="22"/>
        </w:rPr>
        <w:t>applicant</w:t>
      </w:r>
      <w:r>
        <w:rPr>
          <w:color w:val="2E2E2E"/>
          <w:spacing w:val="-4"/>
          <w:sz w:val="22"/>
        </w:rPr>
        <w:t> </w:t>
      </w:r>
      <w:r>
        <w:rPr>
          <w:color w:val="2E2E2E"/>
          <w:sz w:val="22"/>
        </w:rPr>
        <w:t>experiences</w:t>
      </w:r>
      <w:r>
        <w:rPr>
          <w:color w:val="2E2E2E"/>
          <w:spacing w:val="-1"/>
          <w:sz w:val="22"/>
        </w:rPr>
        <w:t> </w:t>
      </w:r>
      <w:r>
        <w:rPr>
          <w:color w:val="2E2E2E"/>
          <w:sz w:val="22"/>
        </w:rPr>
        <w:t>difficulty</w:t>
      </w:r>
      <w:r>
        <w:rPr>
          <w:color w:val="2E2E2E"/>
          <w:spacing w:val="-4"/>
          <w:sz w:val="22"/>
        </w:rPr>
        <w:t> </w:t>
      </w:r>
      <w:r>
        <w:rPr>
          <w:color w:val="2E2E2E"/>
          <w:sz w:val="22"/>
        </w:rPr>
        <w:t>with</w:t>
      </w:r>
      <w:r>
        <w:rPr>
          <w:color w:val="2E2E2E"/>
          <w:spacing w:val="-6"/>
          <w:sz w:val="22"/>
        </w:rPr>
        <w:t> </w:t>
      </w:r>
      <w:r>
        <w:rPr>
          <w:color w:val="2E2E2E"/>
          <w:sz w:val="22"/>
        </w:rPr>
        <w:t>distance,</w:t>
      </w:r>
      <w:r>
        <w:rPr>
          <w:color w:val="2E2E2E"/>
          <w:spacing w:val="-6"/>
          <w:sz w:val="22"/>
        </w:rPr>
        <w:t> </w:t>
      </w:r>
      <w:r>
        <w:rPr>
          <w:color w:val="2E2E2E"/>
          <w:sz w:val="22"/>
        </w:rPr>
        <w:t>near-point,</w:t>
      </w:r>
      <w:r>
        <w:rPr>
          <w:color w:val="2E2E2E"/>
          <w:spacing w:val="-4"/>
          <w:sz w:val="22"/>
        </w:rPr>
        <w:t> </w:t>
      </w:r>
      <w:r>
        <w:rPr>
          <w:color w:val="2E2E2E"/>
          <w:sz w:val="22"/>
        </w:rPr>
        <w:t>or </w:t>
      </w:r>
      <w:r>
        <w:rPr>
          <w:color w:val="2E2E2E"/>
          <w:spacing w:val="-2"/>
          <w:sz w:val="22"/>
        </w:rPr>
        <w:t>both;</w:t>
      </w:r>
    </w:p>
    <w:p>
      <w:pPr>
        <w:pStyle w:val="ListParagraph"/>
        <w:numPr>
          <w:ilvl w:val="0"/>
          <w:numId w:val="1"/>
        </w:numPr>
        <w:tabs>
          <w:tab w:pos="1065" w:val="left" w:leader="none"/>
        </w:tabs>
        <w:spacing w:line="240" w:lineRule="auto" w:before="145" w:after="0"/>
        <w:ind w:left="1065" w:right="0" w:hanging="359"/>
        <w:jc w:val="left"/>
        <w:rPr>
          <w:sz w:val="22"/>
        </w:rPr>
      </w:pPr>
      <w:r>
        <w:rPr>
          <w:color w:val="2E2E2E"/>
          <w:sz w:val="22"/>
        </w:rPr>
        <w:t>Accommodative</w:t>
      </w:r>
      <w:r>
        <w:rPr>
          <w:color w:val="2E2E2E"/>
          <w:spacing w:val="-6"/>
          <w:sz w:val="22"/>
        </w:rPr>
        <w:t> </w:t>
      </w:r>
      <w:r>
        <w:rPr>
          <w:color w:val="2E2E2E"/>
          <w:sz w:val="22"/>
        </w:rPr>
        <w:t>skills:</w:t>
      </w:r>
      <w:r>
        <w:rPr>
          <w:color w:val="2E2E2E"/>
          <w:spacing w:val="-4"/>
          <w:sz w:val="22"/>
        </w:rPr>
        <w:t> </w:t>
      </w:r>
      <w:r>
        <w:rPr>
          <w:color w:val="2E2E2E"/>
          <w:sz w:val="22"/>
        </w:rPr>
        <w:t>at</w:t>
      </w:r>
      <w:r>
        <w:rPr>
          <w:color w:val="2E2E2E"/>
          <w:spacing w:val="-5"/>
          <w:sz w:val="22"/>
        </w:rPr>
        <w:t> </w:t>
      </w:r>
      <w:r>
        <w:rPr>
          <w:color w:val="2E2E2E"/>
          <w:sz w:val="22"/>
        </w:rPr>
        <w:t>near</w:t>
      </w:r>
      <w:r>
        <w:rPr>
          <w:color w:val="2E2E2E"/>
          <w:spacing w:val="-4"/>
          <w:sz w:val="22"/>
        </w:rPr>
        <w:t> </w:t>
      </w:r>
      <w:r>
        <w:rPr>
          <w:color w:val="2E2E2E"/>
          <w:sz w:val="22"/>
        </w:rPr>
        <w:t>point,</w:t>
      </w:r>
      <w:r>
        <w:rPr>
          <w:color w:val="2E2E2E"/>
          <w:spacing w:val="-6"/>
          <w:sz w:val="22"/>
        </w:rPr>
        <w:t> </w:t>
      </w:r>
      <w:r>
        <w:rPr>
          <w:color w:val="2E2E2E"/>
          <w:sz w:val="22"/>
        </w:rPr>
        <w:t>with</w:t>
      </w:r>
      <w:r>
        <w:rPr>
          <w:color w:val="2E2E2E"/>
          <w:spacing w:val="-7"/>
          <w:sz w:val="22"/>
        </w:rPr>
        <w:t> </w:t>
      </w:r>
      <w:r>
        <w:rPr>
          <w:color w:val="2E2E2E"/>
          <w:sz w:val="22"/>
        </w:rPr>
        <w:t>and</w:t>
      </w:r>
      <w:r>
        <w:rPr>
          <w:color w:val="2E2E2E"/>
          <w:spacing w:val="-6"/>
          <w:sz w:val="22"/>
        </w:rPr>
        <w:t> </w:t>
      </w:r>
      <w:r>
        <w:rPr>
          <w:color w:val="2E2E2E"/>
          <w:sz w:val="22"/>
        </w:rPr>
        <w:t>without</w:t>
      </w:r>
      <w:r>
        <w:rPr>
          <w:color w:val="2E2E2E"/>
          <w:spacing w:val="-5"/>
          <w:sz w:val="22"/>
        </w:rPr>
        <w:t> </w:t>
      </w:r>
      <w:r>
        <w:rPr>
          <w:color w:val="2E2E2E"/>
          <w:spacing w:val="-2"/>
          <w:sz w:val="22"/>
        </w:rPr>
        <w:t>lenses;</w:t>
      </w:r>
    </w:p>
    <w:p>
      <w:pPr>
        <w:pStyle w:val="ListParagraph"/>
        <w:numPr>
          <w:ilvl w:val="0"/>
          <w:numId w:val="1"/>
        </w:numPr>
        <w:tabs>
          <w:tab w:pos="1064" w:val="left" w:leader="none"/>
        </w:tabs>
        <w:spacing w:line="240" w:lineRule="auto" w:before="142" w:after="0"/>
        <w:ind w:left="1064" w:right="0" w:hanging="358"/>
        <w:jc w:val="left"/>
        <w:rPr>
          <w:sz w:val="22"/>
        </w:rPr>
      </w:pPr>
      <w:r>
        <w:rPr>
          <w:color w:val="2E2E2E"/>
          <w:sz w:val="22"/>
        </w:rPr>
        <w:t>Oculomotor</w:t>
      </w:r>
      <w:r>
        <w:rPr>
          <w:color w:val="2E2E2E"/>
          <w:spacing w:val="-9"/>
          <w:sz w:val="22"/>
        </w:rPr>
        <w:t> </w:t>
      </w:r>
      <w:r>
        <w:rPr>
          <w:color w:val="2E2E2E"/>
          <w:sz w:val="22"/>
        </w:rPr>
        <w:t>skills:</w:t>
      </w:r>
      <w:r>
        <w:rPr>
          <w:color w:val="2E2E2E"/>
          <w:spacing w:val="-6"/>
          <w:sz w:val="22"/>
        </w:rPr>
        <w:t> </w:t>
      </w:r>
      <w:r>
        <w:rPr>
          <w:color w:val="2E2E2E"/>
          <w:sz w:val="22"/>
        </w:rPr>
        <w:t>saccades,</w:t>
      </w:r>
      <w:r>
        <w:rPr>
          <w:color w:val="2E2E2E"/>
          <w:spacing w:val="-6"/>
          <w:sz w:val="22"/>
        </w:rPr>
        <w:t> </w:t>
      </w:r>
      <w:r>
        <w:rPr>
          <w:color w:val="2E2E2E"/>
          <w:sz w:val="22"/>
        </w:rPr>
        <w:t>pursuits,</w:t>
      </w:r>
      <w:r>
        <w:rPr>
          <w:color w:val="2E2E2E"/>
          <w:spacing w:val="-6"/>
          <w:sz w:val="22"/>
        </w:rPr>
        <w:t> </w:t>
      </w:r>
      <w:r>
        <w:rPr>
          <w:color w:val="2E2E2E"/>
          <w:spacing w:val="-2"/>
          <w:sz w:val="22"/>
        </w:rPr>
        <w:t>tracking;</w:t>
      </w:r>
    </w:p>
    <w:p>
      <w:pPr>
        <w:pStyle w:val="ListParagraph"/>
        <w:numPr>
          <w:ilvl w:val="0"/>
          <w:numId w:val="1"/>
        </w:numPr>
        <w:tabs>
          <w:tab w:pos="1066" w:val="left" w:leader="none"/>
        </w:tabs>
        <w:spacing w:line="240" w:lineRule="auto" w:before="144" w:after="0"/>
        <w:ind w:left="1066" w:right="423" w:hanging="360"/>
        <w:jc w:val="left"/>
        <w:rPr>
          <w:sz w:val="22"/>
        </w:rPr>
      </w:pPr>
      <w:r>
        <w:rPr>
          <w:color w:val="2E2E2E"/>
          <w:sz w:val="22"/>
        </w:rPr>
        <w:t>Academic and residential functional impact: How do the points summarized above, in combination, impact the student in academic and residential functioning? For example, is it likely</w:t>
      </w:r>
      <w:r>
        <w:rPr>
          <w:color w:val="2E2E2E"/>
          <w:spacing w:val="-4"/>
          <w:sz w:val="22"/>
        </w:rPr>
        <w:t> </w:t>
      </w:r>
      <w:r>
        <w:rPr>
          <w:color w:val="2E2E2E"/>
          <w:sz w:val="22"/>
        </w:rPr>
        <w:t>that</w:t>
      </w:r>
      <w:r>
        <w:rPr>
          <w:color w:val="2E2E2E"/>
          <w:spacing w:val="-2"/>
          <w:sz w:val="22"/>
        </w:rPr>
        <w:t> </w:t>
      </w:r>
      <w:r>
        <w:rPr>
          <w:color w:val="2E2E2E"/>
          <w:sz w:val="22"/>
        </w:rPr>
        <w:t>the</w:t>
      </w:r>
      <w:r>
        <w:rPr>
          <w:color w:val="2E2E2E"/>
          <w:spacing w:val="-2"/>
          <w:sz w:val="22"/>
        </w:rPr>
        <w:t> </w:t>
      </w:r>
      <w:r>
        <w:rPr>
          <w:color w:val="2E2E2E"/>
          <w:sz w:val="22"/>
        </w:rPr>
        <w:t>student</w:t>
      </w:r>
      <w:r>
        <w:rPr>
          <w:color w:val="2E2E2E"/>
          <w:spacing w:val="-2"/>
          <w:sz w:val="22"/>
        </w:rPr>
        <w:t> </w:t>
      </w:r>
      <w:r>
        <w:rPr>
          <w:color w:val="2E2E2E"/>
          <w:sz w:val="22"/>
        </w:rPr>
        <w:t>will</w:t>
      </w:r>
      <w:r>
        <w:rPr>
          <w:color w:val="2E2E2E"/>
          <w:spacing w:val="-5"/>
          <w:sz w:val="22"/>
        </w:rPr>
        <w:t> </w:t>
      </w:r>
      <w:r>
        <w:rPr>
          <w:color w:val="2E2E2E"/>
          <w:sz w:val="22"/>
        </w:rPr>
        <w:t>experience</w:t>
      </w:r>
      <w:r>
        <w:rPr>
          <w:color w:val="2E2E2E"/>
          <w:spacing w:val="-2"/>
          <w:sz w:val="22"/>
        </w:rPr>
        <w:t> </w:t>
      </w:r>
      <w:r>
        <w:rPr>
          <w:color w:val="2E2E2E"/>
          <w:sz w:val="22"/>
        </w:rPr>
        <w:t>double</w:t>
      </w:r>
      <w:r>
        <w:rPr>
          <w:color w:val="2E2E2E"/>
          <w:spacing w:val="-2"/>
          <w:sz w:val="22"/>
        </w:rPr>
        <w:t> </w:t>
      </w:r>
      <w:r>
        <w:rPr>
          <w:color w:val="2E2E2E"/>
          <w:sz w:val="22"/>
        </w:rPr>
        <w:t>vision?</w:t>
      </w:r>
      <w:r>
        <w:rPr>
          <w:color w:val="2E2E2E"/>
          <w:spacing w:val="-6"/>
          <w:sz w:val="22"/>
        </w:rPr>
        <w:t> </w:t>
      </w:r>
      <w:r>
        <w:rPr>
          <w:color w:val="2E2E2E"/>
          <w:sz w:val="22"/>
        </w:rPr>
        <w:t>Headache?</w:t>
      </w:r>
      <w:r>
        <w:rPr>
          <w:color w:val="2E2E2E"/>
          <w:spacing w:val="-3"/>
          <w:sz w:val="22"/>
        </w:rPr>
        <w:t> </w:t>
      </w:r>
      <w:r>
        <w:rPr>
          <w:color w:val="2E2E2E"/>
          <w:sz w:val="22"/>
        </w:rPr>
        <w:t>Visual</w:t>
      </w:r>
      <w:r>
        <w:rPr>
          <w:color w:val="2E2E2E"/>
          <w:spacing w:val="-2"/>
          <w:sz w:val="22"/>
        </w:rPr>
        <w:t> </w:t>
      </w:r>
      <w:r>
        <w:rPr>
          <w:color w:val="2E2E2E"/>
          <w:sz w:val="22"/>
        </w:rPr>
        <w:t>fatigue?</w:t>
      </w:r>
      <w:r>
        <w:rPr>
          <w:color w:val="2E2E2E"/>
          <w:spacing w:val="-4"/>
          <w:sz w:val="22"/>
        </w:rPr>
        <w:t> </w:t>
      </w:r>
      <w:r>
        <w:rPr>
          <w:color w:val="2E2E2E"/>
          <w:sz w:val="22"/>
        </w:rPr>
        <w:t>Will</w:t>
      </w:r>
      <w:r>
        <w:rPr>
          <w:color w:val="2E2E2E"/>
          <w:spacing w:val="-3"/>
          <w:sz w:val="22"/>
        </w:rPr>
        <w:t> </w:t>
      </w:r>
      <w:r>
        <w:rPr>
          <w:color w:val="2E2E2E"/>
          <w:sz w:val="22"/>
        </w:rPr>
        <w:t>the</w:t>
      </w:r>
      <w:r>
        <w:rPr>
          <w:color w:val="2E2E2E"/>
          <w:spacing w:val="-4"/>
          <w:sz w:val="22"/>
        </w:rPr>
        <w:t> </w:t>
      </w:r>
      <w:r>
        <w:rPr>
          <w:color w:val="2E2E2E"/>
          <w:sz w:val="22"/>
        </w:rPr>
        <w:t>student benefit from</w:t>
      </w:r>
      <w:r>
        <w:rPr>
          <w:color w:val="2E2E2E"/>
          <w:spacing w:val="-4"/>
          <w:sz w:val="22"/>
        </w:rPr>
        <w:t> </w:t>
      </w:r>
      <w:r>
        <w:rPr>
          <w:color w:val="2E2E2E"/>
          <w:sz w:val="22"/>
        </w:rPr>
        <w:t>more time</w:t>
      </w:r>
      <w:r>
        <w:rPr>
          <w:color w:val="2E2E2E"/>
          <w:spacing w:val="-2"/>
          <w:sz w:val="22"/>
        </w:rPr>
        <w:t> </w:t>
      </w:r>
      <w:r>
        <w:rPr>
          <w:color w:val="2E2E2E"/>
          <w:sz w:val="22"/>
        </w:rPr>
        <w:t>WITH a test,</w:t>
      </w:r>
      <w:r>
        <w:rPr>
          <w:color w:val="2E2E2E"/>
          <w:spacing w:val="-2"/>
          <w:sz w:val="22"/>
        </w:rPr>
        <w:t> </w:t>
      </w:r>
      <w:r>
        <w:rPr>
          <w:color w:val="2E2E2E"/>
          <w:sz w:val="22"/>
        </w:rPr>
        <w:t>or</w:t>
      </w:r>
      <w:r>
        <w:rPr>
          <w:color w:val="2E2E2E"/>
          <w:spacing w:val="-2"/>
          <w:sz w:val="22"/>
        </w:rPr>
        <w:t> </w:t>
      </w:r>
      <w:r>
        <w:rPr>
          <w:color w:val="2E2E2E"/>
          <w:sz w:val="22"/>
        </w:rPr>
        <w:t>more break</w:t>
      </w:r>
      <w:r>
        <w:rPr>
          <w:color w:val="2E2E2E"/>
          <w:spacing w:val="-2"/>
          <w:sz w:val="22"/>
        </w:rPr>
        <w:t> </w:t>
      </w:r>
      <w:r>
        <w:rPr>
          <w:color w:val="2E2E2E"/>
          <w:sz w:val="22"/>
        </w:rPr>
        <w:t>time AWAY from a</w:t>
      </w:r>
      <w:r>
        <w:rPr>
          <w:color w:val="2E2E2E"/>
          <w:spacing w:val="-2"/>
          <w:sz w:val="22"/>
        </w:rPr>
        <w:t> </w:t>
      </w:r>
      <w:r>
        <w:rPr>
          <w:color w:val="2E2E2E"/>
          <w:sz w:val="22"/>
        </w:rPr>
        <w:t>test,</w:t>
      </w:r>
      <w:r>
        <w:rPr>
          <w:color w:val="2E2E2E"/>
          <w:spacing w:val="-2"/>
          <w:sz w:val="22"/>
        </w:rPr>
        <w:t> </w:t>
      </w:r>
      <w:r>
        <w:rPr>
          <w:color w:val="2E2E2E"/>
          <w:sz w:val="22"/>
        </w:rPr>
        <w:t>or both,</w:t>
      </w:r>
      <w:r>
        <w:rPr>
          <w:color w:val="2E2E2E"/>
          <w:spacing w:val="-2"/>
          <w:sz w:val="22"/>
        </w:rPr>
        <w:t> </w:t>
      </w:r>
      <w:r>
        <w:rPr>
          <w:color w:val="2E2E2E"/>
          <w:sz w:val="22"/>
        </w:rPr>
        <w:t>or neither? Is the functional impact likely to be different with a print test than with a test taken on computer? If so, why and how?</w:t>
      </w:r>
    </w:p>
    <w:p>
      <w:pPr>
        <w:pStyle w:val="BodyText"/>
        <w:spacing w:before="143"/>
        <w:ind w:left="706" w:right="413"/>
      </w:pPr>
      <w:r>
        <w:rPr/>
        <w:t>Student</w:t>
      </w:r>
      <w:r>
        <w:rPr>
          <w:spacing w:val="-2"/>
        </w:rPr>
        <w:t> </w:t>
      </w:r>
      <w:r>
        <w:rPr/>
        <w:t>Access</w:t>
      </w:r>
      <w:r>
        <w:rPr>
          <w:spacing w:val="-2"/>
        </w:rPr>
        <w:t> </w:t>
      </w:r>
      <w:r>
        <w:rPr/>
        <w:t>and</w:t>
      </w:r>
      <w:r>
        <w:rPr>
          <w:spacing w:val="-3"/>
        </w:rPr>
        <w:t> </w:t>
      </w:r>
      <w:r>
        <w:rPr/>
        <w:t>Accommodation</w:t>
      </w:r>
      <w:r>
        <w:rPr>
          <w:spacing w:val="-5"/>
        </w:rPr>
        <w:t> </w:t>
      </w:r>
      <w:r>
        <w:rPr/>
        <w:t>will</w:t>
      </w:r>
      <w:r>
        <w:rPr>
          <w:spacing w:val="-5"/>
        </w:rPr>
        <w:t> </w:t>
      </w:r>
      <w:r>
        <w:rPr/>
        <w:t>make</w:t>
      </w:r>
      <w:r>
        <w:rPr>
          <w:spacing w:val="-2"/>
        </w:rPr>
        <w:t> </w:t>
      </w:r>
      <w:r>
        <w:rPr/>
        <w:t>the</w:t>
      </w:r>
      <w:r>
        <w:rPr>
          <w:spacing w:val="-4"/>
        </w:rPr>
        <w:t> </w:t>
      </w:r>
      <w:r>
        <w:rPr/>
        <w:t>final</w:t>
      </w:r>
      <w:r>
        <w:rPr>
          <w:spacing w:val="-2"/>
        </w:rPr>
        <w:t> </w:t>
      </w:r>
      <w:r>
        <w:rPr/>
        <w:t>determination</w:t>
      </w:r>
      <w:r>
        <w:rPr>
          <w:spacing w:val="-3"/>
        </w:rPr>
        <w:t> </w:t>
      </w:r>
      <w:r>
        <w:rPr/>
        <w:t>as</w:t>
      </w:r>
      <w:r>
        <w:rPr>
          <w:spacing w:val="-4"/>
        </w:rPr>
        <w:t> </w:t>
      </w:r>
      <w:r>
        <w:rPr/>
        <w:t>to</w:t>
      </w:r>
      <w:r>
        <w:rPr>
          <w:spacing w:val="-3"/>
        </w:rPr>
        <w:t> </w:t>
      </w:r>
      <w:r>
        <w:rPr/>
        <w:t>whether</w:t>
      </w:r>
      <w:r>
        <w:rPr>
          <w:spacing w:val="-2"/>
        </w:rPr>
        <w:t> </w:t>
      </w:r>
      <w:r>
        <w:rPr/>
        <w:t>appropriate and reasonable accommodations are warranted and can be provided to the individual. All documentation submitted</w:t>
      </w:r>
      <w:r>
        <w:rPr>
          <w:spacing w:val="-3"/>
        </w:rPr>
        <w:t> </w:t>
      </w:r>
      <w:r>
        <w:rPr/>
        <w:t>to SAA is</w:t>
      </w:r>
      <w:r>
        <w:rPr>
          <w:spacing w:val="-1"/>
        </w:rPr>
        <w:t> </w:t>
      </w:r>
      <w:r>
        <w:rPr/>
        <w:t>considered to be confidential under FERPA guidelines and as outlined by University policy.</w:t>
      </w:r>
    </w:p>
    <w:sectPr>
      <w:pgSz w:w="12240" w:h="15840"/>
      <w:pgMar w:header="0" w:footer="1082" w:top="1440" w:bottom="1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48416">
              <wp:simplePos x="0" y="0"/>
              <wp:positionH relativeFrom="page">
                <wp:posOffset>2743326</wp:posOffset>
              </wp:positionH>
              <wp:positionV relativeFrom="page">
                <wp:posOffset>9231579</wp:posOffset>
              </wp:positionV>
              <wp:extent cx="2282825" cy="177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82825" cy="177800"/>
                      </a:xfrm>
                      <a:prstGeom prst="rect">
                        <a:avLst/>
                      </a:prstGeom>
                    </wps:spPr>
                    <wps:txbx>
                      <w:txbxContent>
                        <w:p>
                          <w:pPr>
                            <w:spacing w:line="264" w:lineRule="exact" w:before="0"/>
                            <w:ind w:left="20" w:right="0" w:firstLine="0"/>
                            <w:jc w:val="left"/>
                            <w:rPr>
                              <w:sz w:val="24"/>
                            </w:rPr>
                          </w:pPr>
                          <w:r>
                            <w:rPr>
                              <w:sz w:val="24"/>
                            </w:rPr>
                            <w:t>Student</w:t>
                          </w:r>
                          <w:r>
                            <w:rPr>
                              <w:spacing w:val="-3"/>
                              <w:sz w:val="24"/>
                            </w:rPr>
                            <w:t> </w:t>
                          </w:r>
                          <w:r>
                            <w:rPr>
                              <w:sz w:val="24"/>
                            </w:rPr>
                            <w:t>Access</w:t>
                          </w:r>
                          <w:r>
                            <w:rPr>
                              <w:spacing w:val="-3"/>
                              <w:sz w:val="24"/>
                            </w:rPr>
                            <w:t> </w:t>
                          </w:r>
                          <w:r>
                            <w:rPr>
                              <w:sz w:val="24"/>
                            </w:rPr>
                            <w:t>and</w:t>
                          </w:r>
                          <w:r>
                            <w:rPr>
                              <w:spacing w:val="-4"/>
                              <w:sz w:val="24"/>
                            </w:rPr>
                            <w:t> </w:t>
                          </w:r>
                          <w:r>
                            <w:rPr>
                              <w:spacing w:val="-2"/>
                              <w:sz w:val="24"/>
                            </w:rPr>
                            <w:t>Accommodation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16.009995pt;margin-top:726.895996pt;width:179.75pt;height:14pt;mso-position-horizontal-relative:page;mso-position-vertical-relative:page;z-index:-15768064" type="#_x0000_t202" id="docshape1" filled="false" stroked="false">
              <v:textbox inset="0,0,0,0">
                <w:txbxContent>
                  <w:p>
                    <w:pPr>
                      <w:spacing w:line="264" w:lineRule="exact" w:before="0"/>
                      <w:ind w:left="20" w:right="0" w:firstLine="0"/>
                      <w:jc w:val="left"/>
                      <w:rPr>
                        <w:sz w:val="24"/>
                      </w:rPr>
                    </w:pPr>
                    <w:r>
                      <w:rPr>
                        <w:sz w:val="24"/>
                      </w:rPr>
                      <w:t>Student</w:t>
                    </w:r>
                    <w:r>
                      <w:rPr>
                        <w:spacing w:val="-3"/>
                        <w:sz w:val="24"/>
                      </w:rPr>
                      <w:t> </w:t>
                    </w:r>
                    <w:r>
                      <w:rPr>
                        <w:sz w:val="24"/>
                      </w:rPr>
                      <w:t>Access</w:t>
                    </w:r>
                    <w:r>
                      <w:rPr>
                        <w:spacing w:val="-3"/>
                        <w:sz w:val="24"/>
                      </w:rPr>
                      <w:t> </w:t>
                    </w:r>
                    <w:r>
                      <w:rPr>
                        <w:sz w:val="24"/>
                      </w:rPr>
                      <w:t>and</w:t>
                    </w:r>
                    <w:r>
                      <w:rPr>
                        <w:spacing w:val="-4"/>
                        <w:sz w:val="24"/>
                      </w:rPr>
                      <w:t> </w:t>
                    </w:r>
                    <w:r>
                      <w:rPr>
                        <w:spacing w:val="-2"/>
                        <w:sz w:val="24"/>
                      </w:rPr>
                      <w:t>Accommodation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48928">
              <wp:simplePos x="0" y="0"/>
              <wp:positionH relativeFrom="page">
                <wp:posOffset>6404864</wp:posOffset>
              </wp:positionH>
              <wp:positionV relativeFrom="page">
                <wp:posOffset>9231579</wp:posOffset>
              </wp:positionV>
              <wp:extent cx="471170" cy="1778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71170" cy="177800"/>
                      </a:xfrm>
                      <a:prstGeom prst="rect">
                        <a:avLst/>
                      </a:prstGeom>
                    </wps:spPr>
                    <wps:txbx>
                      <w:txbxContent>
                        <w:p>
                          <w:pPr>
                            <w:spacing w:line="264" w:lineRule="exact" w:before="0"/>
                            <w:ind w:left="20" w:right="0" w:firstLine="0"/>
                            <w:jc w:val="left"/>
                            <w:rPr>
                              <w:sz w:val="24"/>
                            </w:rPr>
                          </w:pPr>
                          <w:r>
                            <w:rPr>
                              <w:spacing w:val="-2"/>
                              <w:sz w:val="24"/>
                            </w:rPr>
                            <w:t>5/2022</w:t>
                          </w:r>
                        </w:p>
                      </w:txbxContent>
                    </wps:txbx>
                    <wps:bodyPr wrap="square" lIns="0" tIns="0" rIns="0" bIns="0" rtlCol="0">
                      <a:noAutofit/>
                    </wps:bodyPr>
                  </wps:wsp>
                </a:graphicData>
              </a:graphic>
            </wp:anchor>
          </w:drawing>
        </mc:Choice>
        <mc:Fallback>
          <w:pict>
            <v:shape style="position:absolute;margin-left:504.320007pt;margin-top:726.895996pt;width:37.1pt;height:14pt;mso-position-horizontal-relative:page;mso-position-vertical-relative:page;z-index:-15767552" type="#_x0000_t202" id="docshape2" filled="false" stroked="false">
              <v:textbox inset="0,0,0,0">
                <w:txbxContent>
                  <w:p>
                    <w:pPr>
                      <w:spacing w:line="264" w:lineRule="exact" w:before="0"/>
                      <w:ind w:left="20" w:right="0" w:firstLine="0"/>
                      <w:jc w:val="left"/>
                      <w:rPr>
                        <w:sz w:val="24"/>
                      </w:rPr>
                    </w:pPr>
                    <w:r>
                      <w:rPr>
                        <w:spacing w:val="-2"/>
                        <w:sz w:val="24"/>
                      </w:rPr>
                      <w:t>5/2022</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1066" w:hanging="360"/>
        <w:jc w:val="left"/>
      </w:pPr>
      <w:rPr>
        <w:rFonts w:hint="default" w:ascii="Calibri" w:hAnsi="Calibri" w:eastAsia="Calibri" w:cs="Calibri"/>
        <w:b w:val="0"/>
        <w:bCs w:val="0"/>
        <w:i w:val="0"/>
        <w:iCs w:val="0"/>
        <w:color w:val="2E2E2E"/>
        <w:spacing w:val="-1"/>
        <w:w w:val="100"/>
        <w:sz w:val="22"/>
        <w:szCs w:val="22"/>
        <w:lang w:val="en-US" w:eastAsia="en-US" w:bidi="ar-SA"/>
      </w:rPr>
    </w:lvl>
    <w:lvl w:ilvl="1">
      <w:start w:val="0"/>
      <w:numFmt w:val="bullet"/>
      <w:lvlText w:val="•"/>
      <w:lvlJc w:val="left"/>
      <w:pPr>
        <w:ind w:left="1962" w:hanging="360"/>
      </w:pPr>
      <w:rPr>
        <w:rFonts w:hint="default"/>
        <w:lang w:val="en-US" w:eastAsia="en-US" w:bidi="ar-SA"/>
      </w:rPr>
    </w:lvl>
    <w:lvl w:ilvl="2">
      <w:start w:val="0"/>
      <w:numFmt w:val="bullet"/>
      <w:lvlText w:val="•"/>
      <w:lvlJc w:val="left"/>
      <w:pPr>
        <w:ind w:left="2864" w:hanging="360"/>
      </w:pPr>
      <w:rPr>
        <w:rFonts w:hint="default"/>
        <w:lang w:val="en-US" w:eastAsia="en-US" w:bidi="ar-SA"/>
      </w:rPr>
    </w:lvl>
    <w:lvl w:ilvl="3">
      <w:start w:val="0"/>
      <w:numFmt w:val="bullet"/>
      <w:lvlText w:val="•"/>
      <w:lvlJc w:val="left"/>
      <w:pPr>
        <w:ind w:left="376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570" w:hanging="360"/>
      </w:pPr>
      <w:rPr>
        <w:rFonts w:hint="default"/>
        <w:lang w:val="en-US" w:eastAsia="en-US" w:bidi="ar-SA"/>
      </w:rPr>
    </w:lvl>
    <w:lvl w:ilvl="6">
      <w:start w:val="0"/>
      <w:numFmt w:val="bullet"/>
      <w:lvlText w:val="•"/>
      <w:lvlJc w:val="left"/>
      <w:pPr>
        <w:ind w:left="6472" w:hanging="360"/>
      </w:pPr>
      <w:rPr>
        <w:rFonts w:hint="default"/>
        <w:lang w:val="en-US" w:eastAsia="en-US" w:bidi="ar-SA"/>
      </w:rPr>
    </w:lvl>
    <w:lvl w:ilvl="7">
      <w:start w:val="0"/>
      <w:numFmt w:val="bullet"/>
      <w:lvlText w:val="•"/>
      <w:lvlJc w:val="left"/>
      <w:pPr>
        <w:ind w:left="7374" w:hanging="360"/>
      </w:pPr>
      <w:rPr>
        <w:rFonts w:hint="default"/>
        <w:lang w:val="en-US" w:eastAsia="en-US" w:bidi="ar-SA"/>
      </w:rPr>
    </w:lvl>
    <w:lvl w:ilvl="8">
      <w:start w:val="0"/>
      <w:numFmt w:val="bullet"/>
      <w:lvlText w:val="•"/>
      <w:lvlJc w:val="left"/>
      <w:pPr>
        <w:ind w:left="827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142"/>
    </w:pPr>
    <w:rPr>
      <w:rFonts w:ascii="Calibri" w:hAnsi="Calibri" w:eastAsia="Calibri" w:cs="Calibri"/>
      <w:sz w:val="22"/>
      <w:szCs w:val="22"/>
      <w:lang w:val="en-US" w:eastAsia="en-US" w:bidi="ar-SA"/>
    </w:rPr>
  </w:style>
  <w:style w:styleId="Heading1" w:type="paragraph">
    <w:name w:val="Heading 1"/>
    <w:basedOn w:val="Normal"/>
    <w:uiPriority w:val="1"/>
    <w:qFormat/>
    <w:pPr>
      <w:ind w:left="360"/>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spacing w:before="330"/>
      <w:ind w:left="3"/>
      <w:jc w:val="center"/>
    </w:pPr>
    <w:rPr>
      <w:rFonts w:ascii="Calibri" w:hAnsi="Calibri" w:eastAsia="Calibri" w:cs="Calibri"/>
      <w:b/>
      <w:bCs/>
      <w:sz w:val="28"/>
      <w:szCs w:val="28"/>
      <w:u w:val="single" w:color="000000"/>
      <w:lang w:val="en-US" w:eastAsia="en-US" w:bidi="ar-SA"/>
    </w:rPr>
  </w:style>
  <w:style w:styleId="ListParagraph" w:type="paragraph">
    <w:name w:val="List Paragraph"/>
    <w:basedOn w:val="Normal"/>
    <w:uiPriority w:val="1"/>
    <w:qFormat/>
    <w:pPr>
      <w:spacing w:before="142"/>
      <w:ind w:left="1064" w:hanging="358"/>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studentaccommodation@tcu.edu" TargetMode="External"/><Relationship Id="rId8" Type="http://schemas.openxmlformats.org/officeDocument/2006/relationships/hyperlink" Target="http://www.tcu.edu/access-accommodation"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Jimerson, LaShondra</dc:creator>
  <dcterms:created xsi:type="dcterms:W3CDTF">2025-10-20T18:54:21Z</dcterms:created>
  <dcterms:modified xsi:type="dcterms:W3CDTF">2025-10-20T18:54:21Z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Word LTSC</vt:lpwstr>
  </property>
  <property fmtid="{D5CDD505-2E9C-101B-9397-08002B2CF9AE}" pid="4" name="LastSaved">
    <vt:filetime>2025-10-20T00:00:00Z</vt:filetime>
  </property>
  <property fmtid="{D5CDD505-2E9C-101B-9397-08002B2CF9AE}" pid="5" name="Producer">
    <vt:lpwstr>Microsoft® Word LTSC</vt:lpwstr>
  </property>
</Properties>
</file>