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275"/>
        <w:rPr>
          <w:rFonts w:ascii="Times New Roman"/>
          <w:sz w:val="20"/>
        </w:rPr>
      </w:pPr>
      <w:r>
        <w:rPr>
          <w:rFonts w:ascii="Times New Roman"/>
          <w:sz w:val="20"/>
        </w:rPr>
        <mc:AlternateContent>
          <mc:Choice Requires="wps">
            <w:drawing>
              <wp:anchor distT="0" distB="0" distL="0" distR="0" allowOverlap="1" layoutInCell="1" locked="0" behindDoc="0" simplePos="0" relativeHeight="15728640">
                <wp:simplePos x="0" y="0"/>
                <wp:positionH relativeFrom="page">
                  <wp:posOffset>457200</wp:posOffset>
                </wp:positionH>
                <wp:positionV relativeFrom="page">
                  <wp:posOffset>9293047</wp:posOffset>
                </wp:positionV>
                <wp:extent cx="9525" cy="154305"/>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9525" cy="154305"/>
                        </a:xfrm>
                        <a:custGeom>
                          <a:avLst/>
                          <a:gdLst/>
                          <a:ahLst/>
                          <a:cxnLst/>
                          <a:rect l="l" t="t" r="r" b="b"/>
                          <a:pathLst>
                            <a:path w="9525" h="154305">
                              <a:moveTo>
                                <a:pt x="9143" y="0"/>
                              </a:moveTo>
                              <a:lnTo>
                                <a:pt x="0" y="0"/>
                              </a:lnTo>
                              <a:lnTo>
                                <a:pt x="0" y="153924"/>
                              </a:lnTo>
                              <a:lnTo>
                                <a:pt x="9143" y="153924"/>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731.736023pt;width:.72pt;height:12.12pt;mso-position-horizontal-relative:page;mso-position-vertical-relative:page;z-index:15728640" id="docshape3" filled="true" fillcolor="#000000" stroked="false">
                <v:fill type="solid"/>
                <w10:wrap type="none"/>
              </v:rect>
            </w:pict>
          </mc:Fallback>
        </mc:AlternateContent>
      </w:r>
      <w:r>
        <w:rPr>
          <w:rFonts w:ascii="Times New Roman"/>
          <w:sz w:val="20"/>
        </w:rPr>
        <w:drawing>
          <wp:inline distT="0" distB="0" distL="0" distR="0">
            <wp:extent cx="4335010" cy="807053"/>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4335010" cy="807053"/>
                    </a:xfrm>
                    <a:prstGeom prst="rect">
                      <a:avLst/>
                    </a:prstGeom>
                  </pic:spPr>
                </pic:pic>
              </a:graphicData>
            </a:graphic>
          </wp:inline>
        </w:drawing>
      </w:r>
      <w:r>
        <w:rPr>
          <w:rFonts w:ascii="Times New Roman"/>
          <w:sz w:val="20"/>
        </w:rPr>
      </w:r>
    </w:p>
    <w:p>
      <w:pPr>
        <w:pStyle w:val="BodyText"/>
        <w:spacing w:before="64"/>
        <w:rPr>
          <w:rFonts w:ascii="Times New Roman"/>
        </w:rPr>
      </w:pPr>
    </w:p>
    <w:p>
      <w:pPr>
        <w:pStyle w:val="Heading1"/>
        <w:tabs>
          <w:tab w:pos="5761" w:val="left" w:leader="none"/>
        </w:tabs>
        <w:jc w:val="left"/>
      </w:pPr>
      <w:r>
        <w:rPr/>
        <w:t>TCU</w:t>
      </w:r>
      <w:r>
        <w:rPr>
          <w:spacing w:val="-6"/>
        </w:rPr>
        <w:t> </w:t>
      </w:r>
      <w:r>
        <w:rPr/>
        <w:t>Box</w:t>
      </w:r>
      <w:r>
        <w:rPr>
          <w:spacing w:val="-6"/>
        </w:rPr>
        <w:t> </w:t>
      </w:r>
      <w:r>
        <w:rPr/>
        <w:t>297008,</w:t>
      </w:r>
      <w:r>
        <w:rPr>
          <w:spacing w:val="-2"/>
        </w:rPr>
        <w:t> </w:t>
      </w:r>
      <w:r>
        <w:rPr/>
        <w:t>Fort</w:t>
      </w:r>
      <w:r>
        <w:rPr>
          <w:spacing w:val="-3"/>
        </w:rPr>
        <w:t> </w:t>
      </w:r>
      <w:r>
        <w:rPr/>
        <w:t>Worth,</w:t>
      </w:r>
      <w:r>
        <w:rPr>
          <w:spacing w:val="-3"/>
        </w:rPr>
        <w:t> </w:t>
      </w:r>
      <w:r>
        <w:rPr/>
        <w:t>Texas</w:t>
      </w:r>
      <w:r>
        <w:rPr>
          <w:spacing w:val="-4"/>
        </w:rPr>
        <w:t> 76129</w:t>
      </w:r>
      <w:r>
        <w:rPr/>
        <w:tab/>
      </w:r>
      <w:hyperlink r:id="rId7">
        <w:r>
          <w:rPr>
            <w:color w:val="0462C1"/>
            <w:spacing w:val="-2"/>
            <w:u w:val="single" w:color="0462C1"/>
          </w:rPr>
          <w:t>studentaccommodation@tcu.edu</w:t>
        </w:r>
      </w:hyperlink>
    </w:p>
    <w:p>
      <w:pPr>
        <w:tabs>
          <w:tab w:pos="5761" w:val="left" w:leader="none"/>
        </w:tabs>
        <w:spacing w:before="58"/>
        <w:ind w:left="0" w:right="0" w:firstLine="0"/>
        <w:jc w:val="left"/>
        <w:rPr>
          <w:b/>
          <w:sz w:val="22"/>
        </w:rPr>
      </w:pPr>
      <w:r>
        <w:rPr>
          <w:b/>
          <w:sz w:val="22"/>
        </w:rPr>
        <w:t>Phone:</w:t>
      </w:r>
      <w:r>
        <w:rPr>
          <w:b/>
          <w:spacing w:val="-6"/>
          <w:sz w:val="22"/>
        </w:rPr>
        <w:t> </w:t>
      </w:r>
      <w:r>
        <w:rPr>
          <w:b/>
          <w:sz w:val="22"/>
        </w:rPr>
        <w:t>817-257-6567</w:t>
      </w:r>
      <w:r>
        <w:rPr>
          <w:b/>
          <w:spacing w:val="62"/>
          <w:w w:val="150"/>
          <w:sz w:val="22"/>
        </w:rPr>
        <w:t> </w:t>
      </w:r>
      <w:r>
        <w:rPr>
          <w:b/>
          <w:sz w:val="22"/>
        </w:rPr>
        <w:t>Fax:</w:t>
      </w:r>
      <w:r>
        <w:rPr>
          <w:b/>
          <w:spacing w:val="-5"/>
          <w:sz w:val="22"/>
        </w:rPr>
        <w:t> </w:t>
      </w:r>
      <w:r>
        <w:rPr>
          <w:b/>
          <w:sz w:val="22"/>
        </w:rPr>
        <w:t>817-257-</w:t>
      </w:r>
      <w:r>
        <w:rPr>
          <w:b/>
          <w:spacing w:val="-4"/>
          <w:sz w:val="22"/>
        </w:rPr>
        <w:t>5358</w:t>
      </w:r>
      <w:r>
        <w:rPr>
          <w:b/>
          <w:sz w:val="22"/>
        </w:rPr>
        <w:tab/>
      </w:r>
      <w:hyperlink r:id="rId8">
        <w:r>
          <w:rPr>
            <w:b/>
            <w:color w:val="0462C1"/>
            <w:spacing w:val="-2"/>
            <w:sz w:val="22"/>
            <w:u w:val="single" w:color="0462C1"/>
          </w:rPr>
          <w:t>www.tcu.edu/access-accommodation</w:t>
        </w:r>
      </w:hyperlink>
    </w:p>
    <w:p>
      <w:pPr>
        <w:pStyle w:val="Title"/>
        <w:rPr>
          <w:u w:val="none"/>
        </w:rPr>
      </w:pPr>
      <w:r>
        <w:rPr>
          <w:u w:val="single"/>
        </w:rPr>
        <w:t>Documentation</w:t>
      </w:r>
      <w:r>
        <w:rPr>
          <w:spacing w:val="-9"/>
          <w:u w:val="single"/>
        </w:rPr>
        <w:t> </w:t>
      </w:r>
      <w:r>
        <w:rPr>
          <w:u w:val="single"/>
        </w:rPr>
        <w:t>Guidelines</w:t>
      </w:r>
      <w:r>
        <w:rPr>
          <w:spacing w:val="-7"/>
          <w:u w:val="single"/>
        </w:rPr>
        <w:t> </w:t>
      </w:r>
      <w:r>
        <w:rPr>
          <w:u w:val="single"/>
        </w:rPr>
        <w:t>for</w:t>
      </w:r>
      <w:r>
        <w:rPr>
          <w:spacing w:val="-6"/>
          <w:u w:val="single"/>
        </w:rPr>
        <w:t> </w:t>
      </w:r>
      <w:r>
        <w:rPr>
          <w:u w:val="single"/>
        </w:rPr>
        <w:t>Autism</w:t>
      </w:r>
      <w:r>
        <w:rPr>
          <w:spacing w:val="-7"/>
          <w:u w:val="single"/>
        </w:rPr>
        <w:t> </w:t>
      </w:r>
      <w:r>
        <w:rPr>
          <w:u w:val="single"/>
        </w:rPr>
        <w:t>Spectrum</w:t>
      </w:r>
      <w:r>
        <w:rPr>
          <w:spacing w:val="-6"/>
          <w:u w:val="single"/>
        </w:rPr>
        <w:t> </w:t>
      </w:r>
      <w:r>
        <w:rPr>
          <w:spacing w:val="-2"/>
          <w:u w:val="single"/>
        </w:rPr>
        <w:t>Disorder</w:t>
      </w:r>
    </w:p>
    <w:p>
      <w:pPr>
        <w:pStyle w:val="BodyText"/>
        <w:spacing w:before="10"/>
        <w:rPr>
          <w:b/>
        </w:rPr>
      </w:pPr>
    </w:p>
    <w:p>
      <w:pPr>
        <w:pStyle w:val="BodyText"/>
        <w:ind w:right="427"/>
      </w:pPr>
      <w:r>
        <w:rPr/>
        <w:t>In order for Student Access and Accommodation (SAA) to evaluate requests for accommodations and/ or</w:t>
      </w:r>
      <w:r>
        <w:rPr>
          <w:spacing w:val="-3"/>
        </w:rPr>
        <w:t> </w:t>
      </w:r>
      <w:r>
        <w:rPr/>
        <w:t>auxiliary</w:t>
      </w:r>
      <w:r>
        <w:rPr>
          <w:spacing w:val="-3"/>
        </w:rPr>
        <w:t> </w:t>
      </w:r>
      <w:r>
        <w:rPr/>
        <w:t>aids</w:t>
      </w:r>
      <w:r>
        <w:rPr>
          <w:spacing w:val="-3"/>
        </w:rPr>
        <w:t> </w:t>
      </w:r>
      <w:r>
        <w:rPr/>
        <w:t>and</w:t>
      </w:r>
      <w:r>
        <w:rPr>
          <w:spacing w:val="-6"/>
        </w:rPr>
        <w:t> </w:t>
      </w:r>
      <w:r>
        <w:rPr/>
        <w:t>to</w:t>
      </w:r>
      <w:r>
        <w:rPr>
          <w:spacing w:val="-4"/>
        </w:rPr>
        <w:t> </w:t>
      </w:r>
      <w:r>
        <w:rPr/>
        <w:t>determine</w:t>
      </w:r>
      <w:r>
        <w:rPr>
          <w:spacing w:val="-4"/>
        </w:rPr>
        <w:t> </w:t>
      </w:r>
      <w:r>
        <w:rPr/>
        <w:t>eligibility</w:t>
      </w:r>
      <w:r>
        <w:rPr>
          <w:spacing w:val="-4"/>
        </w:rPr>
        <w:t> </w:t>
      </w:r>
      <w:r>
        <w:rPr/>
        <w:t>for</w:t>
      </w:r>
      <w:r>
        <w:rPr>
          <w:spacing w:val="-5"/>
        </w:rPr>
        <w:t> </w:t>
      </w:r>
      <w:r>
        <w:rPr/>
        <w:t>services,</w:t>
      </w:r>
      <w:r>
        <w:rPr>
          <w:spacing w:val="-2"/>
        </w:rPr>
        <w:t> </w:t>
      </w:r>
      <w:r>
        <w:rPr/>
        <w:t>appropriate</w:t>
      </w:r>
      <w:r>
        <w:rPr>
          <w:spacing w:val="-3"/>
        </w:rPr>
        <w:t> </w:t>
      </w:r>
      <w:r>
        <w:rPr/>
        <w:t>disability</w:t>
      </w:r>
      <w:r>
        <w:rPr>
          <w:spacing w:val="-3"/>
        </w:rPr>
        <w:t> </w:t>
      </w:r>
      <w:r>
        <w:rPr/>
        <w:t>related</w:t>
      </w:r>
      <w:r>
        <w:rPr>
          <w:spacing w:val="-3"/>
        </w:rPr>
        <w:t> </w:t>
      </w:r>
      <w:r>
        <w:rPr/>
        <w:t>documentation</w:t>
      </w:r>
      <w:r>
        <w:rPr>
          <w:spacing w:val="-4"/>
        </w:rPr>
        <w:t> </w:t>
      </w:r>
      <w:r>
        <w:rPr/>
        <w:t>is needed. The documentation submitted should include an evaluation by an appropriately licensed professional and should demonstrate the current impact of the disability as it relates to the accommodations requested. The documentation should also include a description of any and all relevant functional limitations.</w:t>
      </w:r>
    </w:p>
    <w:p>
      <w:pPr>
        <w:pStyle w:val="BodyText"/>
        <w:spacing w:before="3"/>
      </w:pPr>
    </w:p>
    <w:p>
      <w:pPr>
        <w:pStyle w:val="BodyText"/>
        <w:ind w:right="311"/>
      </w:pPr>
      <w:r>
        <w:rPr/>
        <w:t>In accordance with the DSM-5, the essential features of Autism Spectrum Disorder (ASD) are persistent impairment in reciprocal social communication and social interaction and restricted, repetitive patterns of</w:t>
      </w:r>
      <w:r>
        <w:rPr>
          <w:spacing w:val="-2"/>
        </w:rPr>
        <w:t> </w:t>
      </w:r>
      <w:r>
        <w:rPr/>
        <w:t>behavior,</w:t>
      </w:r>
      <w:r>
        <w:rPr>
          <w:spacing w:val="-5"/>
        </w:rPr>
        <w:t> </w:t>
      </w:r>
      <w:r>
        <w:rPr/>
        <w:t>interests,</w:t>
      </w:r>
      <w:r>
        <w:rPr>
          <w:spacing w:val="-5"/>
        </w:rPr>
        <w:t> </w:t>
      </w:r>
      <w:r>
        <w:rPr/>
        <w:t>or</w:t>
      </w:r>
      <w:r>
        <w:rPr>
          <w:spacing w:val="-5"/>
        </w:rPr>
        <w:t> </w:t>
      </w:r>
      <w:r>
        <w:rPr/>
        <w:t>activities.</w:t>
      </w:r>
      <w:r>
        <w:rPr>
          <w:spacing w:val="-2"/>
        </w:rPr>
        <w:t> </w:t>
      </w:r>
      <w:r>
        <w:rPr/>
        <w:t>These</w:t>
      </w:r>
      <w:r>
        <w:rPr>
          <w:spacing w:val="-2"/>
        </w:rPr>
        <w:t> </w:t>
      </w:r>
      <w:r>
        <w:rPr/>
        <w:t>symptoms</w:t>
      </w:r>
      <w:r>
        <w:rPr>
          <w:spacing w:val="-4"/>
        </w:rPr>
        <w:t> </w:t>
      </w:r>
      <w:r>
        <w:rPr/>
        <w:t>are</w:t>
      </w:r>
      <w:r>
        <w:rPr>
          <w:spacing w:val="-2"/>
        </w:rPr>
        <w:t> </w:t>
      </w:r>
      <w:r>
        <w:rPr/>
        <w:t>present</w:t>
      </w:r>
      <w:r>
        <w:rPr>
          <w:spacing w:val="-2"/>
        </w:rPr>
        <w:t> </w:t>
      </w:r>
      <w:r>
        <w:rPr/>
        <w:t>from</w:t>
      </w:r>
      <w:r>
        <w:rPr>
          <w:spacing w:val="-4"/>
        </w:rPr>
        <w:t> </w:t>
      </w:r>
      <w:r>
        <w:rPr/>
        <w:t>early</w:t>
      </w:r>
      <w:r>
        <w:rPr>
          <w:spacing w:val="-2"/>
        </w:rPr>
        <w:t> </w:t>
      </w:r>
      <w:r>
        <w:rPr/>
        <w:t>childhood</w:t>
      </w:r>
      <w:r>
        <w:rPr>
          <w:spacing w:val="-5"/>
        </w:rPr>
        <w:t> </w:t>
      </w:r>
      <w:r>
        <w:rPr/>
        <w:t>and</w:t>
      </w:r>
      <w:r>
        <w:rPr>
          <w:spacing w:val="-3"/>
        </w:rPr>
        <w:t> </w:t>
      </w:r>
      <w:r>
        <w:rPr/>
        <w:t>limit</w:t>
      </w:r>
      <w:r>
        <w:rPr>
          <w:spacing w:val="-5"/>
        </w:rPr>
        <w:t> </w:t>
      </w:r>
      <w:r>
        <w:rPr/>
        <w:t>or</w:t>
      </w:r>
      <w:r>
        <w:rPr>
          <w:spacing w:val="-5"/>
        </w:rPr>
        <w:t> </w:t>
      </w:r>
      <w:r>
        <w:rPr/>
        <w:t>impair everyday functioning. The stage at which functional impairment becomes obvious will vary according to characteristics of the individual and his or her environment. Core diagnostic features are evident in the developmental period, but</w:t>
      </w:r>
      <w:r>
        <w:rPr>
          <w:spacing w:val="-1"/>
        </w:rPr>
        <w:t> </w:t>
      </w:r>
      <w:r>
        <w:rPr/>
        <w:t>intervention, compensation, and current supports may mask difficulties in at least some contexts. Manifestations of the disorder also vary greatly depending on the severity of the autistic condition, developmental level, and chronological age; hence, the term </w:t>
      </w:r>
      <w:r>
        <w:rPr>
          <w:i/>
        </w:rPr>
        <w:t>spectrum</w:t>
      </w:r>
      <w:r>
        <w:rPr/>
        <w:t>.</w:t>
      </w:r>
    </w:p>
    <w:p>
      <w:pPr>
        <w:pStyle w:val="BodyText"/>
      </w:pPr>
    </w:p>
    <w:p>
      <w:pPr>
        <w:pStyle w:val="BodyText"/>
      </w:pPr>
    </w:p>
    <w:p>
      <w:pPr>
        <w:pStyle w:val="Heading1"/>
        <w:jc w:val="left"/>
      </w:pPr>
      <w:r>
        <w:rPr/>
        <w:t>A</w:t>
      </w:r>
      <w:r>
        <w:rPr>
          <w:spacing w:val="-4"/>
        </w:rPr>
        <w:t> </w:t>
      </w:r>
      <w:r>
        <w:rPr/>
        <w:t>qualified</w:t>
      </w:r>
      <w:r>
        <w:rPr>
          <w:spacing w:val="-5"/>
        </w:rPr>
        <w:t> </w:t>
      </w:r>
      <w:r>
        <w:rPr/>
        <w:t>professional</w:t>
      </w:r>
      <w:r>
        <w:rPr>
          <w:spacing w:val="-4"/>
        </w:rPr>
        <w:t> </w:t>
      </w:r>
      <w:r>
        <w:rPr/>
        <w:t>must</w:t>
      </w:r>
      <w:r>
        <w:rPr>
          <w:spacing w:val="-4"/>
        </w:rPr>
        <w:t> </w:t>
      </w:r>
      <w:r>
        <w:rPr/>
        <w:t>conduct</w:t>
      </w:r>
      <w:r>
        <w:rPr>
          <w:spacing w:val="-6"/>
        </w:rPr>
        <w:t> </w:t>
      </w:r>
      <w:r>
        <w:rPr/>
        <w:t>the</w:t>
      </w:r>
      <w:r>
        <w:rPr>
          <w:spacing w:val="-5"/>
        </w:rPr>
        <w:t> </w:t>
      </w:r>
      <w:r>
        <w:rPr>
          <w:spacing w:val="-2"/>
        </w:rPr>
        <w:t>evaluation.</w:t>
      </w:r>
    </w:p>
    <w:p>
      <w:pPr>
        <w:pStyle w:val="BodyText"/>
        <w:spacing w:before="267"/>
        <w:ind w:right="352"/>
        <w:jc w:val="both"/>
      </w:pPr>
      <w:r>
        <w:rPr/>
        <w:t>Professionals conducting</w:t>
      </w:r>
      <w:r>
        <w:rPr>
          <w:spacing w:val="-1"/>
        </w:rPr>
        <w:t> </w:t>
      </w:r>
      <w:r>
        <w:rPr/>
        <w:t>assessments and rendering</w:t>
      </w:r>
      <w:r>
        <w:rPr>
          <w:spacing w:val="-3"/>
        </w:rPr>
        <w:t> </w:t>
      </w:r>
      <w:r>
        <w:rPr/>
        <w:t>diagnoses of Autism Spectrum Disorder (ASD)</w:t>
      </w:r>
      <w:r>
        <w:rPr>
          <w:spacing w:val="-2"/>
        </w:rPr>
        <w:t> </w:t>
      </w:r>
      <w:r>
        <w:rPr/>
        <w:t>must be qualified to do so. A professional who has comprehensive training in the field of ASD and direct experience working with adolescents and adults diagnosed with ASD such as a neuropsychologist, psychiatrist, clinical psychologist, or neurodevelopmental physician must perform the evaluation. Such documentation</w:t>
      </w:r>
      <w:r>
        <w:rPr>
          <w:spacing w:val="-5"/>
        </w:rPr>
        <w:t> </w:t>
      </w:r>
      <w:r>
        <w:rPr/>
        <w:t>should</w:t>
      </w:r>
      <w:r>
        <w:rPr>
          <w:spacing w:val="-6"/>
        </w:rPr>
        <w:t> </w:t>
      </w:r>
      <w:r>
        <w:rPr/>
        <w:t>be</w:t>
      </w:r>
      <w:r>
        <w:rPr>
          <w:spacing w:val="-6"/>
        </w:rPr>
        <w:t> </w:t>
      </w:r>
      <w:r>
        <w:rPr/>
        <w:t>typewritten</w:t>
      </w:r>
      <w:r>
        <w:rPr>
          <w:spacing w:val="-7"/>
        </w:rPr>
        <w:t> </w:t>
      </w:r>
      <w:r>
        <w:rPr/>
        <w:t>on</w:t>
      </w:r>
      <w:r>
        <w:rPr>
          <w:spacing w:val="-5"/>
        </w:rPr>
        <w:t> </w:t>
      </w:r>
      <w:r>
        <w:rPr/>
        <w:t>letterhead</w:t>
      </w:r>
      <w:r>
        <w:rPr>
          <w:spacing w:val="-5"/>
        </w:rPr>
        <w:t> </w:t>
      </w:r>
      <w:r>
        <w:rPr/>
        <w:t>and</w:t>
      </w:r>
      <w:r>
        <w:rPr>
          <w:spacing w:val="-5"/>
        </w:rPr>
        <w:t> </w:t>
      </w:r>
      <w:r>
        <w:rPr/>
        <w:t>contain</w:t>
      </w:r>
      <w:r>
        <w:rPr>
          <w:spacing w:val="-5"/>
        </w:rPr>
        <w:t> </w:t>
      </w:r>
      <w:r>
        <w:rPr/>
        <w:t>the</w:t>
      </w:r>
      <w:r>
        <w:rPr>
          <w:spacing w:val="-4"/>
        </w:rPr>
        <w:t> </w:t>
      </w:r>
      <w:r>
        <w:rPr/>
        <w:t>professional's</w:t>
      </w:r>
      <w:r>
        <w:rPr>
          <w:spacing w:val="-4"/>
        </w:rPr>
        <w:t> </w:t>
      </w:r>
      <w:r>
        <w:rPr/>
        <w:t>state</w:t>
      </w:r>
      <w:r>
        <w:rPr>
          <w:spacing w:val="-4"/>
        </w:rPr>
        <w:t> </w:t>
      </w:r>
      <w:r>
        <w:rPr/>
        <w:t>license</w:t>
      </w:r>
      <w:r>
        <w:rPr>
          <w:spacing w:val="-4"/>
        </w:rPr>
        <w:t> </w:t>
      </w:r>
      <w:r>
        <w:rPr/>
        <w:t>number, business</w:t>
      </w:r>
      <w:r>
        <w:rPr>
          <w:spacing w:val="-4"/>
        </w:rPr>
        <w:t> </w:t>
      </w:r>
      <w:r>
        <w:rPr/>
        <w:t>location,</w:t>
      </w:r>
      <w:r>
        <w:rPr>
          <w:spacing w:val="-6"/>
        </w:rPr>
        <w:t> </w:t>
      </w:r>
      <w:r>
        <w:rPr/>
        <w:t>contact</w:t>
      </w:r>
      <w:r>
        <w:rPr>
          <w:spacing w:val="-4"/>
        </w:rPr>
        <w:t> </w:t>
      </w:r>
      <w:r>
        <w:rPr/>
        <w:t>information,</w:t>
      </w:r>
      <w:r>
        <w:rPr>
          <w:spacing w:val="-4"/>
        </w:rPr>
        <w:t> </w:t>
      </w:r>
      <w:r>
        <w:rPr/>
        <w:t>and</w:t>
      </w:r>
      <w:r>
        <w:rPr>
          <w:spacing w:val="-5"/>
        </w:rPr>
        <w:t> </w:t>
      </w:r>
      <w:r>
        <w:rPr/>
        <w:t>signature.</w:t>
      </w:r>
      <w:r>
        <w:rPr>
          <w:spacing w:val="-7"/>
        </w:rPr>
        <w:t> </w:t>
      </w:r>
      <w:r>
        <w:rPr/>
        <w:t>The</w:t>
      </w:r>
      <w:r>
        <w:rPr>
          <w:spacing w:val="-4"/>
        </w:rPr>
        <w:t> </w:t>
      </w:r>
      <w:r>
        <w:rPr/>
        <w:t>evaluator</w:t>
      </w:r>
      <w:r>
        <w:rPr>
          <w:spacing w:val="-7"/>
        </w:rPr>
        <w:t> </w:t>
      </w:r>
      <w:r>
        <w:rPr/>
        <w:t>must</w:t>
      </w:r>
      <w:r>
        <w:rPr>
          <w:spacing w:val="-4"/>
        </w:rPr>
        <w:t> </w:t>
      </w:r>
      <w:r>
        <w:rPr/>
        <w:t>be</w:t>
      </w:r>
      <w:r>
        <w:rPr>
          <w:spacing w:val="-4"/>
        </w:rPr>
        <w:t> </w:t>
      </w:r>
      <w:r>
        <w:rPr/>
        <w:t>impartial</w:t>
      </w:r>
      <w:r>
        <w:rPr>
          <w:spacing w:val="-5"/>
        </w:rPr>
        <w:t> </w:t>
      </w:r>
      <w:r>
        <w:rPr/>
        <w:t>and</w:t>
      </w:r>
      <w:r>
        <w:rPr>
          <w:spacing w:val="-5"/>
        </w:rPr>
        <w:t> </w:t>
      </w:r>
      <w:r>
        <w:rPr/>
        <w:t>not</w:t>
      </w:r>
      <w:r>
        <w:rPr>
          <w:spacing w:val="-6"/>
        </w:rPr>
        <w:t> </w:t>
      </w:r>
      <w:r>
        <w:rPr/>
        <w:t>related</w:t>
      </w:r>
      <w:r>
        <w:rPr>
          <w:spacing w:val="-5"/>
        </w:rPr>
        <w:t> </w:t>
      </w:r>
      <w:r>
        <w:rPr/>
        <w:t>to the person being evaluated, their parents, or business partners.</w:t>
      </w:r>
    </w:p>
    <w:p>
      <w:pPr>
        <w:pStyle w:val="BodyText"/>
        <w:spacing w:before="2"/>
      </w:pPr>
    </w:p>
    <w:p>
      <w:pPr>
        <w:pStyle w:val="Heading1"/>
      </w:pPr>
      <w:r>
        <w:rPr/>
        <w:t>Testing</w:t>
      </w:r>
      <w:r>
        <w:rPr>
          <w:spacing w:val="-6"/>
        </w:rPr>
        <w:t> </w:t>
      </w:r>
      <w:r>
        <w:rPr/>
        <w:t>Should</w:t>
      </w:r>
      <w:r>
        <w:rPr>
          <w:spacing w:val="-3"/>
        </w:rPr>
        <w:t> </w:t>
      </w:r>
      <w:r>
        <w:rPr/>
        <w:t>be</w:t>
      </w:r>
      <w:r>
        <w:rPr>
          <w:spacing w:val="-4"/>
        </w:rPr>
        <w:t> </w:t>
      </w:r>
      <w:r>
        <w:rPr>
          <w:spacing w:val="-2"/>
        </w:rPr>
        <w:t>Current.</w:t>
      </w:r>
    </w:p>
    <w:p>
      <w:pPr>
        <w:pStyle w:val="BodyText"/>
        <w:spacing w:before="267"/>
        <w:ind w:right="354"/>
        <w:jc w:val="both"/>
      </w:pPr>
      <w:r>
        <w:rPr/>
        <w:t>For an evaluation to be considered current, the evaluation procedures should typically be administered within</w:t>
      </w:r>
      <w:r>
        <w:rPr>
          <w:spacing w:val="-13"/>
        </w:rPr>
        <w:t> </w:t>
      </w:r>
      <w:r>
        <w:rPr/>
        <w:t>the</w:t>
      </w:r>
      <w:r>
        <w:rPr>
          <w:spacing w:val="-12"/>
        </w:rPr>
        <w:t> </w:t>
      </w:r>
      <w:r>
        <w:rPr/>
        <w:t>last</w:t>
      </w:r>
      <w:r>
        <w:rPr>
          <w:spacing w:val="-13"/>
        </w:rPr>
        <w:t> </w:t>
      </w:r>
      <w:r>
        <w:rPr/>
        <w:t>3</w:t>
      </w:r>
      <w:r>
        <w:rPr>
          <w:spacing w:val="-10"/>
        </w:rPr>
        <w:t> </w:t>
      </w:r>
      <w:r>
        <w:rPr/>
        <w:t>years.</w:t>
      </w:r>
      <w:r>
        <w:rPr>
          <w:spacing w:val="-11"/>
        </w:rPr>
        <w:t> </w:t>
      </w:r>
      <w:r>
        <w:rPr/>
        <w:t>The</w:t>
      </w:r>
      <w:r>
        <w:rPr>
          <w:spacing w:val="-13"/>
        </w:rPr>
        <w:t> </w:t>
      </w:r>
      <w:r>
        <w:rPr/>
        <w:t>University</w:t>
      </w:r>
      <w:r>
        <w:rPr>
          <w:spacing w:val="-10"/>
        </w:rPr>
        <w:t> </w:t>
      </w:r>
      <w:r>
        <w:rPr/>
        <w:t>reserves</w:t>
      </w:r>
      <w:r>
        <w:rPr>
          <w:spacing w:val="-11"/>
        </w:rPr>
        <w:t> </w:t>
      </w:r>
      <w:r>
        <w:rPr/>
        <w:t>the</w:t>
      </w:r>
      <w:r>
        <w:rPr>
          <w:spacing w:val="-11"/>
        </w:rPr>
        <w:t> </w:t>
      </w:r>
      <w:r>
        <w:rPr/>
        <w:t>right</w:t>
      </w:r>
      <w:r>
        <w:rPr>
          <w:spacing w:val="-11"/>
        </w:rPr>
        <w:t> </w:t>
      </w:r>
      <w:r>
        <w:rPr/>
        <w:t>to</w:t>
      </w:r>
      <w:r>
        <w:rPr>
          <w:spacing w:val="-10"/>
        </w:rPr>
        <w:t> </w:t>
      </w:r>
      <w:r>
        <w:rPr/>
        <w:t>request</w:t>
      </w:r>
      <w:r>
        <w:rPr>
          <w:spacing w:val="-11"/>
        </w:rPr>
        <w:t> </w:t>
      </w:r>
      <w:r>
        <w:rPr/>
        <w:t>updated</w:t>
      </w:r>
      <w:r>
        <w:rPr>
          <w:spacing w:val="-13"/>
        </w:rPr>
        <w:t> </w:t>
      </w:r>
      <w:r>
        <w:rPr/>
        <w:t>or</w:t>
      </w:r>
      <w:r>
        <w:rPr>
          <w:spacing w:val="-11"/>
        </w:rPr>
        <w:t> </w:t>
      </w:r>
      <w:r>
        <w:rPr/>
        <w:t>augmented</w:t>
      </w:r>
      <w:r>
        <w:rPr>
          <w:spacing w:val="-12"/>
        </w:rPr>
        <w:t> </w:t>
      </w:r>
      <w:r>
        <w:rPr/>
        <w:t>documentation in order to have a more accurate picture of the </w:t>
      </w:r>
      <w:r>
        <w:rPr>
          <w:u w:val="single"/>
        </w:rPr>
        <w:t>current level</w:t>
      </w:r>
      <w:r>
        <w:rPr>
          <w:u w:val="none"/>
        </w:rPr>
        <w:t> of </w:t>
      </w:r>
      <w:r>
        <w:rPr>
          <w:b/>
          <w:u w:val="none"/>
        </w:rPr>
        <w:t>functioning</w:t>
      </w:r>
      <w:r>
        <w:rPr>
          <w:u w:val="none"/>
        </w:rPr>
        <w:t>. Students may be asked to provide updated comprehensive information if their condition is subject to change and/or previous documentation does not include sufficient relevant information.</w:t>
      </w:r>
    </w:p>
    <w:p>
      <w:pPr>
        <w:pStyle w:val="BodyText"/>
        <w:spacing w:after="0"/>
        <w:jc w:val="both"/>
        <w:sectPr>
          <w:footerReference w:type="default" r:id="rId5"/>
          <w:type w:val="continuous"/>
          <w:pgSz w:w="12240" w:h="15840"/>
          <w:pgMar w:header="0" w:footer="965" w:top="1440" w:bottom="1160" w:left="1440" w:right="1080"/>
          <w:pgNumType w:start="1"/>
        </w:sectPr>
      </w:pPr>
    </w:p>
    <w:p>
      <w:pPr>
        <w:pStyle w:val="Heading1"/>
        <w:spacing w:before="39"/>
      </w:pPr>
      <w:r>
        <w:rPr/>
        <w:t>Comprehensive</w:t>
      </w:r>
      <w:r>
        <w:rPr>
          <w:spacing w:val="-9"/>
        </w:rPr>
        <w:t> </w:t>
      </w:r>
      <w:r>
        <w:rPr>
          <w:spacing w:val="-2"/>
        </w:rPr>
        <w:t>Documentation.</w:t>
      </w:r>
    </w:p>
    <w:p>
      <w:pPr>
        <w:pStyle w:val="BodyText"/>
        <w:spacing w:before="1"/>
        <w:rPr>
          <w:b/>
        </w:rPr>
      </w:pPr>
    </w:p>
    <w:p>
      <w:pPr>
        <w:pStyle w:val="BodyText"/>
        <w:jc w:val="both"/>
      </w:pPr>
      <w:r>
        <w:rPr/>
        <w:t>Comprehensive</w:t>
      </w:r>
      <w:r>
        <w:rPr>
          <w:spacing w:val="27"/>
        </w:rPr>
        <w:t> </w:t>
      </w:r>
      <w:r>
        <w:rPr/>
        <w:t>historical</w:t>
      </w:r>
      <w:r>
        <w:rPr>
          <w:spacing w:val="28"/>
        </w:rPr>
        <w:t> </w:t>
      </w:r>
      <w:r>
        <w:rPr/>
        <w:t>information</w:t>
      </w:r>
      <w:r>
        <w:rPr>
          <w:spacing w:val="27"/>
        </w:rPr>
        <w:t> </w:t>
      </w:r>
      <w:r>
        <w:rPr/>
        <w:t>regarding</w:t>
      </w:r>
      <w:r>
        <w:rPr>
          <w:spacing w:val="28"/>
        </w:rPr>
        <w:t> </w:t>
      </w:r>
      <w:r>
        <w:rPr/>
        <w:t>the</w:t>
      </w:r>
      <w:r>
        <w:rPr>
          <w:spacing w:val="27"/>
        </w:rPr>
        <w:t> </w:t>
      </w:r>
      <w:r>
        <w:rPr/>
        <w:t>individual’s</w:t>
      </w:r>
      <w:r>
        <w:rPr>
          <w:spacing w:val="29"/>
        </w:rPr>
        <w:t> </w:t>
      </w:r>
      <w:r>
        <w:rPr/>
        <w:t>communication,</w:t>
      </w:r>
      <w:r>
        <w:rPr>
          <w:spacing w:val="28"/>
        </w:rPr>
        <w:t> </w:t>
      </w:r>
      <w:r>
        <w:rPr/>
        <w:t>social</w:t>
      </w:r>
      <w:r>
        <w:rPr>
          <w:spacing w:val="29"/>
        </w:rPr>
        <w:t> </w:t>
      </w:r>
      <w:r>
        <w:rPr/>
        <w:t>and</w:t>
      </w:r>
      <w:r>
        <w:rPr>
          <w:spacing w:val="28"/>
        </w:rPr>
        <w:t> </w:t>
      </w:r>
      <w:r>
        <w:rPr>
          <w:spacing w:val="-2"/>
        </w:rPr>
        <w:t>academic</w:t>
      </w:r>
    </w:p>
    <w:p>
      <w:pPr>
        <w:pStyle w:val="BodyText"/>
        <w:jc w:val="both"/>
      </w:pPr>
      <w:r>
        <w:rPr/>
        <w:t>history</w:t>
      </w:r>
      <w:r>
        <w:rPr>
          <w:spacing w:val="-7"/>
        </w:rPr>
        <w:t> </w:t>
      </w:r>
      <w:r>
        <w:rPr/>
        <w:t>in</w:t>
      </w:r>
      <w:r>
        <w:rPr>
          <w:spacing w:val="-5"/>
        </w:rPr>
        <w:t> </w:t>
      </w:r>
      <w:r>
        <w:rPr/>
        <w:t>elementary,</w:t>
      </w:r>
      <w:r>
        <w:rPr>
          <w:spacing w:val="-4"/>
        </w:rPr>
        <w:t> </w:t>
      </w:r>
      <w:r>
        <w:rPr/>
        <w:t>secondary,</w:t>
      </w:r>
      <w:r>
        <w:rPr>
          <w:spacing w:val="-5"/>
        </w:rPr>
        <w:t> </w:t>
      </w:r>
      <w:r>
        <w:rPr/>
        <w:t>and</w:t>
      </w:r>
      <w:r>
        <w:rPr>
          <w:spacing w:val="-6"/>
        </w:rPr>
        <w:t> </w:t>
      </w:r>
      <w:r>
        <w:rPr/>
        <w:t>post-secondary</w:t>
      </w:r>
      <w:r>
        <w:rPr>
          <w:spacing w:val="-8"/>
        </w:rPr>
        <w:t> </w:t>
      </w:r>
      <w:r>
        <w:rPr/>
        <w:t>education</w:t>
      </w:r>
      <w:r>
        <w:rPr>
          <w:spacing w:val="-7"/>
        </w:rPr>
        <w:t> </w:t>
      </w:r>
      <w:r>
        <w:rPr/>
        <w:t>should</w:t>
      </w:r>
      <w:r>
        <w:rPr>
          <w:spacing w:val="-7"/>
        </w:rPr>
        <w:t> </w:t>
      </w:r>
      <w:r>
        <w:rPr/>
        <w:t>be</w:t>
      </w:r>
      <w:r>
        <w:rPr>
          <w:spacing w:val="-4"/>
        </w:rPr>
        <w:t> </w:t>
      </w:r>
      <w:r>
        <w:rPr/>
        <w:t>documented</w:t>
      </w:r>
      <w:r>
        <w:rPr>
          <w:spacing w:val="-5"/>
        </w:rPr>
        <w:t> </w:t>
      </w:r>
      <w:r>
        <w:rPr/>
        <w:t>and</w:t>
      </w:r>
      <w:r>
        <w:rPr>
          <w:spacing w:val="-6"/>
        </w:rPr>
        <w:t> </w:t>
      </w:r>
      <w:r>
        <w:rPr>
          <w:spacing w:val="-2"/>
        </w:rPr>
        <w:t>provided.</w:t>
      </w:r>
    </w:p>
    <w:p>
      <w:pPr>
        <w:pStyle w:val="ListParagraph"/>
        <w:numPr>
          <w:ilvl w:val="0"/>
          <w:numId w:val="1"/>
        </w:numPr>
        <w:tabs>
          <w:tab w:pos="720" w:val="left" w:leader="none"/>
        </w:tabs>
        <w:spacing w:line="240" w:lineRule="auto" w:before="267" w:after="0"/>
        <w:ind w:left="720" w:right="353" w:hanging="360"/>
        <w:jc w:val="both"/>
        <w:rPr>
          <w:sz w:val="22"/>
        </w:rPr>
      </w:pPr>
      <w:r>
        <w:rPr>
          <w:sz w:val="22"/>
        </w:rPr>
        <w:t>The evaluator should state a diagnosis based on the most current version of the </w:t>
      </w:r>
      <w:r>
        <w:rPr>
          <w:i/>
          <w:sz w:val="22"/>
        </w:rPr>
        <w:t>Diagnostic and</w:t>
      </w:r>
      <w:r>
        <w:rPr>
          <w:i/>
          <w:sz w:val="22"/>
        </w:rPr>
        <w:t> Statistical Manual</w:t>
      </w:r>
      <w:r>
        <w:rPr>
          <w:sz w:val="22"/>
        </w:rPr>
        <w:t>.</w:t>
      </w:r>
      <w:r>
        <w:rPr>
          <w:spacing w:val="40"/>
          <w:sz w:val="22"/>
        </w:rPr>
        <w:t> </w:t>
      </w:r>
      <w:r>
        <w:rPr>
          <w:sz w:val="22"/>
        </w:rPr>
        <w:t>In addition, the documentation should include any specific </w:t>
      </w:r>
      <w:r>
        <w:rPr>
          <w:sz w:val="22"/>
          <w:u w:val="single"/>
        </w:rPr>
        <w:t>objective</w:t>
      </w:r>
      <w:r>
        <w:rPr>
          <w:sz w:val="22"/>
          <w:u w:val="none"/>
        </w:rPr>
        <w:t> </w:t>
      </w:r>
      <w:r>
        <w:rPr>
          <w:sz w:val="22"/>
          <w:u w:val="single"/>
        </w:rPr>
        <w:t>measures/evaluations</w:t>
      </w:r>
      <w:r>
        <w:rPr>
          <w:sz w:val="22"/>
          <w:u w:val="none"/>
        </w:rPr>
        <w:t> used to help substantiate the diagnosis.</w:t>
      </w:r>
    </w:p>
    <w:p>
      <w:pPr>
        <w:pStyle w:val="BodyText"/>
        <w:spacing w:before="1"/>
      </w:pPr>
    </w:p>
    <w:p>
      <w:pPr>
        <w:pStyle w:val="ListParagraph"/>
        <w:numPr>
          <w:ilvl w:val="0"/>
          <w:numId w:val="1"/>
        </w:numPr>
        <w:tabs>
          <w:tab w:pos="720" w:val="left" w:leader="none"/>
        </w:tabs>
        <w:spacing w:line="240" w:lineRule="auto" w:before="0" w:after="0"/>
        <w:ind w:left="720" w:right="0" w:hanging="360"/>
        <w:jc w:val="left"/>
        <w:rPr>
          <w:sz w:val="22"/>
        </w:rPr>
      </w:pPr>
      <w:r>
        <w:rPr>
          <w:sz w:val="22"/>
          <w:u w:val="single"/>
        </w:rPr>
        <w:t>A</w:t>
      </w:r>
      <w:r>
        <w:rPr>
          <w:spacing w:val="-7"/>
          <w:sz w:val="22"/>
          <w:u w:val="single"/>
        </w:rPr>
        <w:t> </w:t>
      </w:r>
      <w:r>
        <w:rPr>
          <w:sz w:val="22"/>
          <w:u w:val="single"/>
        </w:rPr>
        <w:t>detailed</w:t>
      </w:r>
      <w:r>
        <w:rPr>
          <w:spacing w:val="-5"/>
          <w:sz w:val="22"/>
          <w:u w:val="single"/>
        </w:rPr>
        <w:t> </w:t>
      </w:r>
      <w:r>
        <w:rPr>
          <w:sz w:val="22"/>
          <w:u w:val="single"/>
        </w:rPr>
        <w:t>description</w:t>
      </w:r>
      <w:r>
        <w:rPr>
          <w:spacing w:val="-4"/>
          <w:sz w:val="22"/>
          <w:u w:val="none"/>
        </w:rPr>
        <w:t> </w:t>
      </w:r>
      <w:r>
        <w:rPr>
          <w:sz w:val="22"/>
          <w:u w:val="none"/>
        </w:rPr>
        <w:t>of</w:t>
      </w:r>
      <w:r>
        <w:rPr>
          <w:spacing w:val="-8"/>
          <w:sz w:val="22"/>
          <w:u w:val="none"/>
        </w:rPr>
        <w:t> </w:t>
      </w:r>
      <w:r>
        <w:rPr>
          <w:sz w:val="22"/>
          <w:u w:val="none"/>
        </w:rPr>
        <w:t>the</w:t>
      </w:r>
      <w:r>
        <w:rPr>
          <w:spacing w:val="-4"/>
          <w:sz w:val="22"/>
          <w:u w:val="none"/>
        </w:rPr>
        <w:t> </w:t>
      </w:r>
      <w:r>
        <w:rPr>
          <w:sz w:val="22"/>
          <w:u w:val="none"/>
        </w:rPr>
        <w:t>student’s</w:t>
      </w:r>
      <w:r>
        <w:rPr>
          <w:spacing w:val="-4"/>
          <w:sz w:val="22"/>
          <w:u w:val="none"/>
        </w:rPr>
        <w:t> </w:t>
      </w:r>
      <w:r>
        <w:rPr>
          <w:sz w:val="22"/>
          <w:u w:val="single"/>
        </w:rPr>
        <w:t>current</w:t>
      </w:r>
      <w:r>
        <w:rPr>
          <w:spacing w:val="-8"/>
          <w:sz w:val="22"/>
          <w:u w:val="single"/>
        </w:rPr>
        <w:t> </w:t>
      </w:r>
      <w:r>
        <w:rPr>
          <w:sz w:val="22"/>
          <w:u w:val="single"/>
        </w:rPr>
        <w:t>functioning</w:t>
      </w:r>
      <w:r>
        <w:rPr>
          <w:spacing w:val="-5"/>
          <w:sz w:val="22"/>
          <w:u w:val="none"/>
        </w:rPr>
        <w:t> </w:t>
      </w:r>
      <w:r>
        <w:rPr>
          <w:spacing w:val="-2"/>
          <w:sz w:val="22"/>
          <w:u w:val="none"/>
        </w:rPr>
        <w:t>including:</w:t>
      </w:r>
    </w:p>
    <w:p>
      <w:pPr>
        <w:pStyle w:val="ListParagraph"/>
        <w:numPr>
          <w:ilvl w:val="1"/>
          <w:numId w:val="1"/>
        </w:numPr>
        <w:tabs>
          <w:tab w:pos="1799" w:val="left" w:leader="none"/>
        </w:tabs>
        <w:spacing w:line="272" w:lineRule="exact" w:before="1" w:after="0"/>
        <w:ind w:left="1799" w:right="0" w:hanging="359"/>
        <w:jc w:val="left"/>
        <w:rPr>
          <w:sz w:val="22"/>
        </w:rPr>
      </w:pPr>
      <w:r>
        <w:rPr>
          <w:sz w:val="22"/>
        </w:rPr>
        <w:t>social</w:t>
      </w:r>
      <w:r>
        <w:rPr>
          <w:spacing w:val="-10"/>
          <w:sz w:val="22"/>
        </w:rPr>
        <w:t> </w:t>
      </w:r>
      <w:r>
        <w:rPr>
          <w:sz w:val="22"/>
        </w:rPr>
        <w:t>communication</w:t>
      </w:r>
      <w:r>
        <w:rPr>
          <w:spacing w:val="-5"/>
          <w:sz w:val="22"/>
        </w:rPr>
        <w:t> </w:t>
      </w:r>
      <w:r>
        <w:rPr>
          <w:sz w:val="22"/>
        </w:rPr>
        <w:t>and</w:t>
      </w:r>
      <w:r>
        <w:rPr>
          <w:spacing w:val="-8"/>
          <w:sz w:val="22"/>
        </w:rPr>
        <w:t> </w:t>
      </w:r>
      <w:r>
        <w:rPr>
          <w:sz w:val="22"/>
        </w:rPr>
        <w:t>social</w:t>
      </w:r>
      <w:r>
        <w:rPr>
          <w:spacing w:val="-5"/>
          <w:sz w:val="22"/>
        </w:rPr>
        <w:t> </w:t>
      </w:r>
      <w:r>
        <w:rPr>
          <w:sz w:val="22"/>
        </w:rPr>
        <w:t>interactions</w:t>
      </w:r>
      <w:r>
        <w:rPr>
          <w:spacing w:val="-5"/>
          <w:sz w:val="22"/>
        </w:rPr>
        <w:t> </w:t>
      </w:r>
      <w:r>
        <w:rPr>
          <w:sz w:val="22"/>
        </w:rPr>
        <w:t>across</w:t>
      </w:r>
      <w:r>
        <w:rPr>
          <w:spacing w:val="-6"/>
          <w:sz w:val="22"/>
        </w:rPr>
        <w:t> </w:t>
      </w:r>
      <w:r>
        <w:rPr>
          <w:sz w:val="22"/>
        </w:rPr>
        <w:t>multiple</w:t>
      </w:r>
      <w:r>
        <w:rPr>
          <w:spacing w:val="-4"/>
          <w:sz w:val="22"/>
        </w:rPr>
        <w:t> </w:t>
      </w:r>
      <w:r>
        <w:rPr>
          <w:spacing w:val="-2"/>
          <w:sz w:val="22"/>
        </w:rPr>
        <w:t>contexts;</w:t>
      </w:r>
    </w:p>
    <w:p>
      <w:pPr>
        <w:pStyle w:val="ListParagraph"/>
        <w:numPr>
          <w:ilvl w:val="1"/>
          <w:numId w:val="1"/>
        </w:numPr>
        <w:tabs>
          <w:tab w:pos="1799" w:val="left" w:leader="none"/>
        </w:tabs>
        <w:spacing w:line="268" w:lineRule="exact" w:before="0" w:after="0"/>
        <w:ind w:left="1799" w:right="0" w:hanging="359"/>
        <w:jc w:val="left"/>
        <w:rPr>
          <w:sz w:val="22"/>
        </w:rPr>
      </w:pPr>
      <w:r>
        <w:rPr>
          <w:sz w:val="22"/>
        </w:rPr>
        <w:t>patterns</w:t>
      </w:r>
      <w:r>
        <w:rPr>
          <w:spacing w:val="-8"/>
          <w:sz w:val="22"/>
        </w:rPr>
        <w:t> </w:t>
      </w:r>
      <w:r>
        <w:rPr>
          <w:sz w:val="22"/>
        </w:rPr>
        <w:t>of</w:t>
      </w:r>
      <w:r>
        <w:rPr>
          <w:spacing w:val="-5"/>
          <w:sz w:val="22"/>
        </w:rPr>
        <w:t> </w:t>
      </w:r>
      <w:r>
        <w:rPr>
          <w:sz w:val="22"/>
        </w:rPr>
        <w:t>behavior,</w:t>
      </w:r>
      <w:r>
        <w:rPr>
          <w:spacing w:val="-4"/>
          <w:sz w:val="22"/>
        </w:rPr>
        <w:t> </w:t>
      </w:r>
      <w:r>
        <w:rPr>
          <w:sz w:val="22"/>
        </w:rPr>
        <w:t>activities</w:t>
      </w:r>
      <w:r>
        <w:rPr>
          <w:spacing w:val="-2"/>
          <w:sz w:val="22"/>
        </w:rPr>
        <w:t> </w:t>
      </w:r>
      <w:r>
        <w:rPr>
          <w:sz w:val="22"/>
        </w:rPr>
        <w:t>and</w:t>
      </w:r>
      <w:r>
        <w:rPr>
          <w:spacing w:val="-6"/>
          <w:sz w:val="22"/>
        </w:rPr>
        <w:t> </w:t>
      </w:r>
      <w:r>
        <w:rPr>
          <w:sz w:val="22"/>
        </w:rPr>
        <w:t>sensory</w:t>
      </w:r>
      <w:r>
        <w:rPr>
          <w:spacing w:val="-3"/>
          <w:sz w:val="22"/>
        </w:rPr>
        <w:t> </w:t>
      </w:r>
      <w:r>
        <w:rPr>
          <w:spacing w:val="-2"/>
          <w:sz w:val="22"/>
        </w:rPr>
        <w:t>functioning;</w:t>
      </w:r>
    </w:p>
    <w:p>
      <w:pPr>
        <w:pStyle w:val="ListParagraph"/>
        <w:numPr>
          <w:ilvl w:val="1"/>
          <w:numId w:val="1"/>
        </w:numPr>
        <w:tabs>
          <w:tab w:pos="1799" w:val="left" w:leader="none"/>
        </w:tabs>
        <w:spacing w:line="268" w:lineRule="exact" w:before="0" w:after="0"/>
        <w:ind w:left="1799" w:right="0" w:hanging="359"/>
        <w:jc w:val="left"/>
        <w:rPr>
          <w:sz w:val="22"/>
        </w:rPr>
      </w:pPr>
      <w:r>
        <w:rPr>
          <w:sz w:val="22"/>
        </w:rPr>
        <w:t>sensitivity</w:t>
      </w:r>
      <w:r>
        <w:rPr>
          <w:spacing w:val="-6"/>
          <w:sz w:val="22"/>
        </w:rPr>
        <w:t> </w:t>
      </w:r>
      <w:r>
        <w:rPr>
          <w:sz w:val="22"/>
        </w:rPr>
        <w:t>to</w:t>
      </w:r>
      <w:r>
        <w:rPr>
          <w:spacing w:val="-6"/>
          <w:sz w:val="22"/>
        </w:rPr>
        <w:t> </w:t>
      </w:r>
      <w:r>
        <w:rPr>
          <w:sz w:val="22"/>
        </w:rPr>
        <w:t>environmental</w:t>
      </w:r>
      <w:r>
        <w:rPr>
          <w:spacing w:val="-5"/>
          <w:sz w:val="22"/>
        </w:rPr>
        <w:t> </w:t>
      </w:r>
      <w:r>
        <w:rPr>
          <w:spacing w:val="-2"/>
          <w:sz w:val="22"/>
        </w:rPr>
        <w:t>conditions;</w:t>
      </w:r>
    </w:p>
    <w:p>
      <w:pPr>
        <w:pStyle w:val="ListParagraph"/>
        <w:numPr>
          <w:ilvl w:val="1"/>
          <w:numId w:val="1"/>
        </w:numPr>
        <w:tabs>
          <w:tab w:pos="1799" w:val="left" w:leader="none"/>
        </w:tabs>
        <w:spacing w:line="269" w:lineRule="exact" w:before="0" w:after="0"/>
        <w:ind w:left="1799" w:right="0" w:hanging="359"/>
        <w:jc w:val="left"/>
        <w:rPr>
          <w:sz w:val="22"/>
        </w:rPr>
      </w:pPr>
      <w:r>
        <w:rPr>
          <w:sz w:val="22"/>
        </w:rPr>
        <w:t>motor</w:t>
      </w:r>
      <w:r>
        <w:rPr>
          <w:spacing w:val="-7"/>
          <w:sz w:val="22"/>
        </w:rPr>
        <w:t> </w:t>
      </w:r>
      <w:r>
        <w:rPr>
          <w:spacing w:val="-2"/>
          <w:sz w:val="22"/>
        </w:rPr>
        <w:t>planning;</w:t>
      </w:r>
    </w:p>
    <w:p>
      <w:pPr>
        <w:pStyle w:val="ListParagraph"/>
        <w:numPr>
          <w:ilvl w:val="1"/>
          <w:numId w:val="1"/>
        </w:numPr>
        <w:tabs>
          <w:tab w:pos="1799" w:val="left" w:leader="none"/>
        </w:tabs>
        <w:spacing w:line="269" w:lineRule="exact" w:before="0" w:after="0"/>
        <w:ind w:left="1799" w:right="0" w:hanging="359"/>
        <w:jc w:val="left"/>
        <w:rPr>
          <w:sz w:val="22"/>
        </w:rPr>
      </w:pPr>
      <w:r>
        <w:rPr>
          <w:sz w:val="22"/>
        </w:rPr>
        <w:t>executive</w:t>
      </w:r>
      <w:r>
        <w:rPr>
          <w:spacing w:val="-9"/>
          <w:sz w:val="22"/>
        </w:rPr>
        <w:t> </w:t>
      </w:r>
      <w:r>
        <w:rPr>
          <w:sz w:val="22"/>
        </w:rPr>
        <w:t>functioning</w:t>
      </w:r>
      <w:r>
        <w:rPr>
          <w:spacing w:val="-8"/>
          <w:sz w:val="22"/>
        </w:rPr>
        <w:t> </w:t>
      </w:r>
      <w:r>
        <w:rPr>
          <w:spacing w:val="-2"/>
          <w:sz w:val="22"/>
        </w:rPr>
        <w:t>ability;</w:t>
      </w:r>
    </w:p>
    <w:p>
      <w:pPr>
        <w:pStyle w:val="ListParagraph"/>
        <w:numPr>
          <w:ilvl w:val="1"/>
          <w:numId w:val="1"/>
        </w:numPr>
        <w:tabs>
          <w:tab w:pos="1799" w:val="left" w:leader="none"/>
        </w:tabs>
        <w:spacing w:line="269" w:lineRule="exact" w:before="0" w:after="0"/>
        <w:ind w:left="1799" w:right="0" w:hanging="359"/>
        <w:jc w:val="left"/>
        <w:rPr>
          <w:sz w:val="22"/>
        </w:rPr>
      </w:pPr>
      <w:r>
        <w:rPr>
          <w:sz w:val="22"/>
        </w:rPr>
        <w:t>coping</w:t>
      </w:r>
      <w:r>
        <w:rPr>
          <w:spacing w:val="-5"/>
          <w:sz w:val="22"/>
        </w:rPr>
        <w:t> </w:t>
      </w:r>
      <w:r>
        <w:rPr>
          <w:sz w:val="22"/>
        </w:rPr>
        <w:t>skills</w:t>
      </w:r>
      <w:r>
        <w:rPr>
          <w:spacing w:val="-7"/>
          <w:sz w:val="22"/>
        </w:rPr>
        <w:t> </w:t>
      </w:r>
      <w:r>
        <w:rPr>
          <w:sz w:val="22"/>
        </w:rPr>
        <w:t>and</w:t>
      </w:r>
      <w:r>
        <w:rPr>
          <w:spacing w:val="-5"/>
          <w:sz w:val="22"/>
        </w:rPr>
        <w:t> </w:t>
      </w:r>
      <w:r>
        <w:rPr>
          <w:sz w:val="22"/>
        </w:rPr>
        <w:t>adaptive</w:t>
      </w:r>
      <w:r>
        <w:rPr>
          <w:spacing w:val="-3"/>
          <w:sz w:val="22"/>
        </w:rPr>
        <w:t> </w:t>
      </w:r>
      <w:r>
        <w:rPr>
          <w:spacing w:val="-2"/>
          <w:sz w:val="22"/>
        </w:rPr>
        <w:t>behavior;</w:t>
      </w:r>
    </w:p>
    <w:p>
      <w:pPr>
        <w:pStyle w:val="ListParagraph"/>
        <w:numPr>
          <w:ilvl w:val="1"/>
          <w:numId w:val="1"/>
        </w:numPr>
        <w:tabs>
          <w:tab w:pos="1799" w:val="left" w:leader="none"/>
        </w:tabs>
        <w:spacing w:line="272" w:lineRule="exact" w:before="0" w:after="0"/>
        <w:ind w:left="1799" w:right="0" w:hanging="359"/>
        <w:jc w:val="left"/>
        <w:rPr>
          <w:sz w:val="22"/>
        </w:rPr>
      </w:pPr>
      <w:r>
        <w:rPr>
          <w:sz w:val="22"/>
        </w:rPr>
        <w:t>independent</w:t>
      </w:r>
      <w:r>
        <w:rPr>
          <w:spacing w:val="-7"/>
          <w:sz w:val="22"/>
        </w:rPr>
        <w:t> </w:t>
      </w:r>
      <w:r>
        <w:rPr>
          <w:sz w:val="22"/>
        </w:rPr>
        <w:t>living</w:t>
      </w:r>
      <w:r>
        <w:rPr>
          <w:spacing w:val="-7"/>
          <w:sz w:val="22"/>
        </w:rPr>
        <w:t> </w:t>
      </w:r>
      <w:r>
        <w:rPr>
          <w:spacing w:val="-2"/>
          <w:sz w:val="22"/>
        </w:rPr>
        <w:t>skills.</w:t>
      </w:r>
    </w:p>
    <w:p>
      <w:pPr>
        <w:pStyle w:val="ListParagraph"/>
        <w:numPr>
          <w:ilvl w:val="0"/>
          <w:numId w:val="1"/>
        </w:numPr>
        <w:tabs>
          <w:tab w:pos="720" w:val="left" w:leader="none"/>
        </w:tabs>
        <w:spacing w:line="240" w:lineRule="auto" w:before="262" w:after="0"/>
        <w:ind w:left="720" w:right="354" w:hanging="360"/>
        <w:jc w:val="both"/>
        <w:rPr>
          <w:sz w:val="22"/>
        </w:rPr>
      </w:pPr>
      <w:r>
        <w:rPr>
          <w:sz w:val="22"/>
        </w:rPr>
        <w:t>Relevant academic performance data may include results of 1) aptitude and achievement standardized tests, 2) standardized tests of language skills, 3) standardized scales of symptoms related to ASD, as well as 4) clinical observations, including level of severity.</w:t>
      </w:r>
    </w:p>
    <w:p>
      <w:pPr>
        <w:pStyle w:val="Heading1"/>
        <w:spacing w:before="267"/>
      </w:pPr>
      <w:r>
        <w:rPr/>
        <w:t>Significant</w:t>
      </w:r>
      <w:r>
        <w:rPr>
          <w:spacing w:val="-8"/>
        </w:rPr>
        <w:t> </w:t>
      </w:r>
      <w:r>
        <w:rPr/>
        <w:t>Functional</w:t>
      </w:r>
      <w:r>
        <w:rPr>
          <w:spacing w:val="-8"/>
        </w:rPr>
        <w:t> </w:t>
      </w:r>
      <w:r>
        <w:rPr>
          <w:spacing w:val="-2"/>
        </w:rPr>
        <w:t>Limitations.</w:t>
      </w:r>
    </w:p>
    <w:p>
      <w:pPr>
        <w:pStyle w:val="BodyText"/>
        <w:rPr>
          <w:b/>
        </w:rPr>
      </w:pPr>
    </w:p>
    <w:p>
      <w:pPr>
        <w:pStyle w:val="BodyText"/>
        <w:spacing w:before="1"/>
        <w:ind w:right="361"/>
        <w:jc w:val="both"/>
      </w:pPr>
      <w:r>
        <w:rPr/>
        <w:t>A description of any and all functional limitations caused by the communication disorder and relative to the postsecondary academic course and housing environment, if such accommodations are needed.</w:t>
      </w:r>
    </w:p>
    <w:p>
      <w:pPr>
        <w:pStyle w:val="BodyText"/>
        <w:spacing w:before="1"/>
      </w:pPr>
    </w:p>
    <w:p>
      <w:pPr>
        <w:pStyle w:val="Heading1"/>
      </w:pPr>
      <w:r>
        <w:rPr/>
        <w:t>Types</w:t>
      </w:r>
      <w:r>
        <w:rPr>
          <w:spacing w:val="-9"/>
        </w:rPr>
        <w:t> </w:t>
      </w:r>
      <w:r>
        <w:rPr/>
        <w:t>of</w:t>
      </w:r>
      <w:r>
        <w:rPr>
          <w:spacing w:val="-5"/>
        </w:rPr>
        <w:t> </w:t>
      </w:r>
      <w:r>
        <w:rPr/>
        <w:t>Documentation</w:t>
      </w:r>
      <w:r>
        <w:rPr>
          <w:spacing w:val="-5"/>
        </w:rPr>
        <w:t> </w:t>
      </w:r>
      <w:r>
        <w:rPr/>
        <w:t>Could</w:t>
      </w:r>
      <w:r>
        <w:rPr>
          <w:spacing w:val="-5"/>
        </w:rPr>
        <w:t> </w:t>
      </w:r>
      <w:r>
        <w:rPr>
          <w:spacing w:val="-2"/>
        </w:rPr>
        <w:t>Include:</w:t>
      </w:r>
    </w:p>
    <w:p>
      <w:pPr>
        <w:pStyle w:val="ListParagraph"/>
        <w:numPr>
          <w:ilvl w:val="0"/>
          <w:numId w:val="1"/>
        </w:numPr>
        <w:tabs>
          <w:tab w:pos="720" w:val="left" w:leader="none"/>
        </w:tabs>
        <w:spacing w:line="240" w:lineRule="auto" w:before="267" w:after="0"/>
        <w:ind w:left="720" w:right="0" w:hanging="360"/>
        <w:jc w:val="left"/>
        <w:rPr>
          <w:sz w:val="22"/>
        </w:rPr>
      </w:pPr>
      <w:r>
        <w:rPr>
          <w:sz w:val="22"/>
        </w:rPr>
        <w:t>Assessment</w:t>
      </w:r>
      <w:r>
        <w:rPr>
          <w:spacing w:val="-6"/>
          <w:sz w:val="22"/>
        </w:rPr>
        <w:t> </w:t>
      </w:r>
      <w:r>
        <w:rPr>
          <w:sz w:val="22"/>
        </w:rPr>
        <w:t>and</w:t>
      </w:r>
      <w:r>
        <w:rPr>
          <w:spacing w:val="-4"/>
          <w:sz w:val="22"/>
        </w:rPr>
        <w:t> </w:t>
      </w:r>
      <w:r>
        <w:rPr>
          <w:sz w:val="22"/>
        </w:rPr>
        <w:t>Rating</w:t>
      </w:r>
      <w:r>
        <w:rPr>
          <w:spacing w:val="-4"/>
          <w:sz w:val="22"/>
        </w:rPr>
        <w:t> </w:t>
      </w:r>
      <w:r>
        <w:rPr>
          <w:sz w:val="22"/>
        </w:rPr>
        <w:t>Scales</w:t>
      </w:r>
      <w:r>
        <w:rPr>
          <w:spacing w:val="-4"/>
          <w:sz w:val="22"/>
        </w:rPr>
        <w:t> </w:t>
      </w:r>
      <w:r>
        <w:rPr>
          <w:sz w:val="22"/>
        </w:rPr>
        <w:t>Related</w:t>
      </w:r>
      <w:r>
        <w:rPr>
          <w:spacing w:val="-6"/>
          <w:sz w:val="22"/>
        </w:rPr>
        <w:t> </w:t>
      </w:r>
      <w:r>
        <w:rPr>
          <w:sz w:val="22"/>
        </w:rPr>
        <w:t>to</w:t>
      </w:r>
      <w:r>
        <w:rPr>
          <w:spacing w:val="-2"/>
          <w:sz w:val="22"/>
        </w:rPr>
        <w:t> </w:t>
      </w:r>
      <w:r>
        <w:rPr>
          <w:spacing w:val="-4"/>
          <w:sz w:val="22"/>
        </w:rPr>
        <w:t>ASD.</w:t>
      </w:r>
    </w:p>
    <w:p>
      <w:pPr>
        <w:pStyle w:val="ListParagraph"/>
        <w:numPr>
          <w:ilvl w:val="0"/>
          <w:numId w:val="1"/>
        </w:numPr>
        <w:tabs>
          <w:tab w:pos="720" w:val="left" w:leader="none"/>
        </w:tabs>
        <w:spacing w:line="240" w:lineRule="auto" w:before="0" w:after="0"/>
        <w:ind w:left="720" w:right="0" w:hanging="360"/>
        <w:jc w:val="left"/>
        <w:rPr>
          <w:sz w:val="22"/>
        </w:rPr>
      </w:pPr>
      <w:r>
        <w:rPr>
          <w:spacing w:val="-2"/>
          <w:sz w:val="22"/>
        </w:rPr>
        <w:t>Comprehensive</w:t>
      </w:r>
      <w:r>
        <w:rPr>
          <w:spacing w:val="14"/>
          <w:sz w:val="22"/>
        </w:rPr>
        <w:t> </w:t>
      </w:r>
      <w:r>
        <w:rPr>
          <w:spacing w:val="-2"/>
          <w:sz w:val="22"/>
        </w:rPr>
        <w:t>Psychoeducational</w:t>
      </w:r>
      <w:r>
        <w:rPr>
          <w:spacing w:val="14"/>
          <w:sz w:val="22"/>
        </w:rPr>
        <w:t> </w:t>
      </w:r>
      <w:r>
        <w:rPr>
          <w:spacing w:val="-2"/>
          <w:sz w:val="22"/>
        </w:rPr>
        <w:t>Evaluation.</w:t>
      </w:r>
    </w:p>
    <w:p>
      <w:pPr>
        <w:pStyle w:val="BodyText"/>
        <w:spacing w:before="1"/>
      </w:pPr>
    </w:p>
    <w:p>
      <w:pPr>
        <w:pStyle w:val="BodyText"/>
        <w:ind w:right="358"/>
        <w:jc w:val="both"/>
      </w:pPr>
      <w:r>
        <w:rPr/>
        <w:t>Student Access and Accommodation will make the final determination as to whether appropriate and reasonable accommodations are warranted and can be provided to the individual. All documentation submitted to SAA is considered to be confidential under FERPA guidelines and as outlined by University </w:t>
      </w:r>
      <w:r>
        <w:rPr>
          <w:spacing w:val="-2"/>
        </w:rPr>
        <w:t>policy.</w:t>
      </w:r>
    </w:p>
    <w:sectPr>
      <w:pgSz w:w="12240" w:h="15840"/>
      <w:pgMar w:header="0" w:footer="965" w:top="1400" w:bottom="116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42272">
              <wp:simplePos x="0" y="0"/>
              <wp:positionH relativeFrom="page">
                <wp:posOffset>2964307</wp:posOffset>
              </wp:positionH>
              <wp:positionV relativeFrom="page">
                <wp:posOffset>9305873</wp:posOffset>
              </wp:positionV>
              <wp:extent cx="1903095"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03095" cy="152400"/>
                      </a:xfrm>
                      <a:prstGeom prst="rect">
                        <a:avLst/>
                      </a:prstGeom>
                    </wps:spPr>
                    <wps:txbx>
                      <w:txbxContent>
                        <w:p>
                          <w:pPr>
                            <w:spacing w:line="223" w:lineRule="exact" w:before="0"/>
                            <w:ind w:left="20" w:right="0" w:firstLine="0"/>
                            <w:jc w:val="left"/>
                            <w:rPr>
                              <w:sz w:val="20"/>
                            </w:rPr>
                          </w:pPr>
                          <w:r>
                            <w:rPr>
                              <w:sz w:val="20"/>
                            </w:rPr>
                            <w:t>Student</w:t>
                          </w:r>
                          <w:r>
                            <w:rPr>
                              <w:spacing w:val="-7"/>
                              <w:sz w:val="20"/>
                            </w:rPr>
                            <w:t> </w:t>
                          </w:r>
                          <w:r>
                            <w:rPr>
                              <w:sz w:val="20"/>
                            </w:rPr>
                            <w:t>Access</w:t>
                          </w:r>
                          <w:r>
                            <w:rPr>
                              <w:spacing w:val="-6"/>
                              <w:sz w:val="20"/>
                            </w:rPr>
                            <w:t> </w:t>
                          </w:r>
                          <w:r>
                            <w:rPr>
                              <w:sz w:val="20"/>
                            </w:rPr>
                            <w:t>and</w:t>
                          </w:r>
                          <w:r>
                            <w:rPr>
                              <w:spacing w:val="-7"/>
                              <w:sz w:val="20"/>
                            </w:rPr>
                            <w:t> </w:t>
                          </w:r>
                          <w:r>
                            <w:rPr>
                              <w:spacing w:val="-2"/>
                              <w:sz w:val="20"/>
                            </w:rPr>
                            <w:t>Accommodation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33.410004pt;margin-top:732.745972pt;width:149.85pt;height:12pt;mso-position-horizontal-relative:page;mso-position-vertical-relative:page;z-index:-15774208" type="#_x0000_t202" id="docshape1" filled="false" stroked="false">
              <v:textbox inset="0,0,0,0">
                <w:txbxContent>
                  <w:p>
                    <w:pPr>
                      <w:spacing w:line="223" w:lineRule="exact" w:before="0"/>
                      <w:ind w:left="20" w:right="0" w:firstLine="0"/>
                      <w:jc w:val="left"/>
                      <w:rPr>
                        <w:sz w:val="20"/>
                      </w:rPr>
                    </w:pPr>
                    <w:r>
                      <w:rPr>
                        <w:sz w:val="20"/>
                      </w:rPr>
                      <w:t>Student</w:t>
                    </w:r>
                    <w:r>
                      <w:rPr>
                        <w:spacing w:val="-7"/>
                        <w:sz w:val="20"/>
                      </w:rPr>
                      <w:t> </w:t>
                    </w:r>
                    <w:r>
                      <w:rPr>
                        <w:sz w:val="20"/>
                      </w:rPr>
                      <w:t>Access</w:t>
                    </w:r>
                    <w:r>
                      <w:rPr>
                        <w:spacing w:val="-6"/>
                        <w:sz w:val="20"/>
                      </w:rPr>
                      <w:t> </w:t>
                    </w:r>
                    <w:r>
                      <w:rPr>
                        <w:sz w:val="20"/>
                      </w:rPr>
                      <w:t>and</w:t>
                    </w:r>
                    <w:r>
                      <w:rPr>
                        <w:spacing w:val="-7"/>
                        <w:sz w:val="20"/>
                      </w:rPr>
                      <w:t> </w:t>
                    </w:r>
                    <w:r>
                      <w:rPr>
                        <w:spacing w:val="-2"/>
                        <w:sz w:val="20"/>
                      </w:rPr>
                      <w:t>Accommodation</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42784">
              <wp:simplePos x="0" y="0"/>
              <wp:positionH relativeFrom="page">
                <wp:posOffset>6426200</wp:posOffset>
              </wp:positionH>
              <wp:positionV relativeFrom="page">
                <wp:posOffset>9305873</wp:posOffset>
              </wp:positionV>
              <wp:extent cx="394335"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4335" cy="152400"/>
                      </a:xfrm>
                      <a:prstGeom prst="rect">
                        <a:avLst/>
                      </a:prstGeom>
                    </wps:spPr>
                    <wps:txbx>
                      <w:txbxContent>
                        <w:p>
                          <w:pPr>
                            <w:spacing w:line="223" w:lineRule="exact" w:before="0"/>
                            <w:ind w:left="20" w:right="0" w:firstLine="0"/>
                            <w:jc w:val="left"/>
                            <w:rPr>
                              <w:sz w:val="20"/>
                            </w:rPr>
                          </w:pPr>
                          <w:r>
                            <w:rPr>
                              <w:spacing w:val="-2"/>
                              <w:sz w:val="20"/>
                            </w:rPr>
                            <w:t>5/2022</w:t>
                          </w:r>
                        </w:p>
                      </w:txbxContent>
                    </wps:txbx>
                    <wps:bodyPr wrap="square" lIns="0" tIns="0" rIns="0" bIns="0" rtlCol="0">
                      <a:noAutofit/>
                    </wps:bodyPr>
                  </wps:wsp>
                </a:graphicData>
              </a:graphic>
            </wp:anchor>
          </w:drawing>
        </mc:Choice>
        <mc:Fallback>
          <w:pict>
            <v:shape style="position:absolute;margin-left:506pt;margin-top:732.745972pt;width:31.05pt;height:12pt;mso-position-horizontal-relative:page;mso-position-vertical-relative:page;z-index:-15773696" type="#_x0000_t202" id="docshape2" filled="false" stroked="false">
              <v:textbox inset="0,0,0,0">
                <w:txbxContent>
                  <w:p>
                    <w:pPr>
                      <w:spacing w:line="223" w:lineRule="exact" w:before="0"/>
                      <w:ind w:left="20" w:right="0" w:firstLine="0"/>
                      <w:jc w:val="left"/>
                      <w:rPr>
                        <w:sz w:val="20"/>
                      </w:rPr>
                    </w:pPr>
                    <w:r>
                      <w:rPr>
                        <w:spacing w:val="-2"/>
                        <w:sz w:val="20"/>
                      </w:rPr>
                      <w:t>5/2022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800" w:hanging="360"/>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680" w:hanging="360"/>
      </w:pPr>
      <w:rPr>
        <w:rFonts w:hint="default"/>
        <w:lang w:val="en-US" w:eastAsia="en-US" w:bidi="ar-SA"/>
      </w:rPr>
    </w:lvl>
    <w:lvl w:ilvl="3">
      <w:start w:val="0"/>
      <w:numFmt w:val="bullet"/>
      <w:lvlText w:val="•"/>
      <w:lvlJc w:val="left"/>
      <w:pPr>
        <w:ind w:left="3560" w:hanging="360"/>
      </w:pPr>
      <w:rPr>
        <w:rFonts w:hint="default"/>
        <w:lang w:val="en-US" w:eastAsia="en-US" w:bidi="ar-SA"/>
      </w:rPr>
    </w:lvl>
    <w:lvl w:ilvl="4">
      <w:start w:val="0"/>
      <w:numFmt w:val="bullet"/>
      <w:lvlText w:val="•"/>
      <w:lvlJc w:val="left"/>
      <w:pPr>
        <w:ind w:left="4440" w:hanging="360"/>
      </w:pPr>
      <w:rPr>
        <w:rFonts w:hint="default"/>
        <w:lang w:val="en-US" w:eastAsia="en-US" w:bidi="ar-SA"/>
      </w:rPr>
    </w:lvl>
    <w:lvl w:ilvl="5">
      <w:start w:val="0"/>
      <w:numFmt w:val="bullet"/>
      <w:lvlText w:val="•"/>
      <w:lvlJc w:val="left"/>
      <w:pPr>
        <w:ind w:left="5320" w:hanging="360"/>
      </w:pPr>
      <w:rPr>
        <w:rFonts w:hint="default"/>
        <w:lang w:val="en-US" w:eastAsia="en-US" w:bidi="ar-SA"/>
      </w:rPr>
    </w:lvl>
    <w:lvl w:ilvl="6">
      <w:start w:val="0"/>
      <w:numFmt w:val="bullet"/>
      <w:lvlText w:val="•"/>
      <w:lvlJc w:val="left"/>
      <w:pPr>
        <w:ind w:left="6200" w:hanging="360"/>
      </w:pPr>
      <w:rPr>
        <w:rFonts w:hint="default"/>
        <w:lang w:val="en-US" w:eastAsia="en-US" w:bidi="ar-SA"/>
      </w:rPr>
    </w:lvl>
    <w:lvl w:ilvl="7">
      <w:start w:val="0"/>
      <w:numFmt w:val="bullet"/>
      <w:lvlText w:val="•"/>
      <w:lvlJc w:val="left"/>
      <w:pPr>
        <w:ind w:left="7080" w:hanging="360"/>
      </w:pPr>
      <w:rPr>
        <w:rFonts w:hint="default"/>
        <w:lang w:val="en-US" w:eastAsia="en-US" w:bidi="ar-SA"/>
      </w:rPr>
    </w:lvl>
    <w:lvl w:ilvl="8">
      <w:start w:val="0"/>
      <w:numFmt w:val="bullet"/>
      <w:lvlText w:val="•"/>
      <w:lvlJc w:val="left"/>
      <w:pPr>
        <w:ind w:left="796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jc w:val="both"/>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0"/>
      <w:ind w:right="355"/>
      <w:jc w:val="center"/>
    </w:pPr>
    <w:rPr>
      <w:rFonts w:ascii="Calibri" w:hAnsi="Calibri" w:eastAsia="Calibri" w:cs="Calibri"/>
      <w:b/>
      <w:bCs/>
      <w:sz w:val="28"/>
      <w:szCs w:val="28"/>
      <w:u w:val="single" w:color="000000"/>
      <w:lang w:val="en-US" w:eastAsia="en-US" w:bidi="ar-SA"/>
    </w:rPr>
  </w:style>
  <w:style w:styleId="ListParagraph" w:type="paragraph">
    <w:name w:val="List Paragraph"/>
    <w:basedOn w:val="Normal"/>
    <w:uiPriority w:val="1"/>
    <w:qFormat/>
    <w:pPr>
      <w:ind w:left="1799" w:hanging="35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tudentaccommodation@tcu.edu" TargetMode="External"/><Relationship Id="rId8" Type="http://schemas.openxmlformats.org/officeDocument/2006/relationships/hyperlink" Target="http://www.tcu.edu/access-accommodatio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Kassler, Sharon</dc:creator>
  <dcterms:created xsi:type="dcterms:W3CDTF">2025-10-20T18:52:59Z</dcterms:created>
  <dcterms:modified xsi:type="dcterms:W3CDTF">2025-10-20T18:52:59Z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LTSC</vt:lpwstr>
  </property>
  <property fmtid="{D5CDD505-2E9C-101B-9397-08002B2CF9AE}" pid="4" name="LastSaved">
    <vt:filetime>2025-10-20T00:00:00Z</vt:filetime>
  </property>
  <property fmtid="{D5CDD505-2E9C-101B-9397-08002B2CF9AE}" pid="5" name="Producer">
    <vt:lpwstr>Microsoft® Word LTSC</vt:lpwstr>
  </property>
</Properties>
</file>